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83BDA">
      <w:pPr>
        <w:spacing w:after="0" w:line="240" w:lineRule="auto"/>
        <w:jc w:val="center"/>
        <w:rPr>
          <w:rFonts w:eastAsia="黑体" w:cs="Times New Roman"/>
          <w:b/>
          <w:bCs/>
          <w:sz w:val="44"/>
          <w:szCs w:val="42"/>
          <w:lang w:eastAsia="zh-CN"/>
        </w:rPr>
      </w:pPr>
    </w:p>
    <w:p w14:paraId="3702F089">
      <w:pPr>
        <w:spacing w:after="0" w:line="240" w:lineRule="auto"/>
        <w:jc w:val="center"/>
        <w:rPr>
          <w:rFonts w:eastAsia="黑体" w:cs="Times New Roman"/>
          <w:b/>
          <w:bCs/>
          <w:sz w:val="44"/>
          <w:szCs w:val="42"/>
          <w:lang w:eastAsia="zh-CN"/>
        </w:rPr>
      </w:pPr>
      <w:r>
        <w:rPr>
          <w:rFonts w:eastAsia="黑体" w:cs="Times New Roman"/>
          <w:b/>
          <w:bCs/>
          <w:sz w:val="44"/>
          <w:szCs w:val="42"/>
          <w:lang w:eastAsia="zh-CN"/>
        </w:rPr>
        <w:t>第五届中国研究生金融科技创新大赛</w:t>
      </w:r>
    </w:p>
    <w:p w14:paraId="4B554AA1">
      <w:pPr>
        <w:spacing w:line="600" w:lineRule="exact"/>
        <w:jc w:val="center"/>
        <w:rPr>
          <w:rFonts w:ascii="Times New Roman" w:hAnsi="Times New Roman" w:cs="Times New Roman"/>
          <w:b/>
          <w:bCs/>
          <w:sz w:val="32"/>
          <w:szCs w:val="32"/>
          <w:lang w:eastAsia="zh-CN"/>
        </w:rPr>
      </w:pPr>
      <w:r>
        <w:rPr>
          <w:rFonts w:hint="eastAsia" w:eastAsia="黑体" w:cs="Times New Roman"/>
          <w:b/>
          <w:bCs/>
          <w:sz w:val="44"/>
          <w:szCs w:val="42"/>
          <w:lang w:eastAsia="zh-CN"/>
        </w:rPr>
        <w:t>“</w:t>
      </w:r>
      <w:r>
        <w:rPr>
          <w:rFonts w:eastAsia="黑体" w:cs="Times New Roman"/>
          <w:b/>
          <w:bCs/>
          <w:sz w:val="44"/>
          <w:szCs w:val="42"/>
          <w:lang w:eastAsia="zh-CN"/>
        </w:rPr>
        <w:t>揭榜挂帅</w:t>
      </w:r>
      <w:r>
        <w:rPr>
          <w:rFonts w:hint="eastAsia" w:eastAsia="黑体" w:cs="Times New Roman"/>
          <w:b/>
          <w:bCs/>
          <w:sz w:val="44"/>
          <w:szCs w:val="42"/>
          <w:lang w:eastAsia="zh-CN"/>
        </w:rPr>
        <w:t>”</w:t>
      </w:r>
      <w:r>
        <w:rPr>
          <w:rFonts w:eastAsia="黑体" w:cs="Times New Roman"/>
          <w:b/>
          <w:bCs/>
          <w:sz w:val="44"/>
          <w:szCs w:val="42"/>
          <w:lang w:eastAsia="zh-CN"/>
        </w:rPr>
        <w:t>赛题说明</w:t>
      </w:r>
    </w:p>
    <w:tbl>
      <w:tblPr>
        <w:tblStyle w:val="3"/>
        <w:tblW w:w="100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6"/>
        <w:gridCol w:w="1276"/>
        <w:gridCol w:w="1984"/>
        <w:gridCol w:w="1346"/>
        <w:gridCol w:w="3331"/>
      </w:tblGrid>
      <w:tr w14:paraId="23844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4E722C48">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一、命题单位基本情况</w:t>
            </w:r>
          </w:p>
        </w:tc>
      </w:tr>
      <w:tr w14:paraId="24F93C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10740DBB">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单位名称</w:t>
            </w:r>
          </w:p>
        </w:tc>
        <w:tc>
          <w:tcPr>
            <w:tcW w:w="79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8A23">
            <w:pPr>
              <w:spacing w:after="0" w:line="240" w:lineRule="auto"/>
              <w:jc w:val="center"/>
              <w:rPr>
                <w:rFonts w:ascii="Times New Roman" w:hAnsi="Times New Roman" w:eastAsia="仿宋" w:cs="Times New Roman"/>
                <w:color w:val="000000"/>
                <w:kern w:val="0"/>
                <w:sz w:val="28"/>
                <w:szCs w:val="28"/>
                <w:lang w:val="zh-CN" w:eastAsia="en-US" w:bidi="ar-SA"/>
              </w:rPr>
            </w:pPr>
            <w:r>
              <w:rPr>
                <w:rFonts w:hint="eastAsia" w:ascii="Times New Roman" w:hAnsi="Times New Roman" w:eastAsia="仿宋" w:cs="Times New Roman"/>
                <w:color w:val="000000"/>
                <w:sz w:val="28"/>
                <w:szCs w:val="28"/>
                <w:lang w:eastAsia="zh-CN"/>
              </w:rPr>
              <w:t>江苏金融租赁股份有限公司</w:t>
            </w:r>
          </w:p>
        </w:tc>
      </w:tr>
      <w:tr w14:paraId="73350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2A8531C8">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单位地址</w:t>
            </w:r>
          </w:p>
        </w:tc>
        <w:tc>
          <w:tcPr>
            <w:tcW w:w="79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5ACF3">
            <w:pPr>
              <w:spacing w:after="0" w:line="240" w:lineRule="auto"/>
              <w:jc w:val="center"/>
              <w:rPr>
                <w:rFonts w:ascii="Times New Roman" w:hAnsi="Times New Roman" w:eastAsia="仿宋" w:cs="Times New Roman"/>
                <w:color w:val="000000"/>
                <w:kern w:val="0"/>
                <w:sz w:val="28"/>
                <w:szCs w:val="28"/>
                <w:lang w:val="zh-CN" w:eastAsia="zh-CN" w:bidi="ar-SA"/>
              </w:rPr>
            </w:pPr>
            <w:r>
              <w:rPr>
                <w:rFonts w:hint="eastAsia" w:ascii="Times New Roman" w:hAnsi="Times New Roman" w:eastAsia="仿宋" w:cs="Times New Roman"/>
                <w:color w:val="000000"/>
                <w:sz w:val="28"/>
                <w:szCs w:val="28"/>
                <w:lang w:eastAsia="zh-CN"/>
              </w:rPr>
              <w:t>江苏省南京市嘉陵江东街99号金融城1号楼</w:t>
            </w:r>
          </w:p>
        </w:tc>
      </w:tr>
      <w:tr w14:paraId="39DBD2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7"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24266289">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单位简介</w:t>
            </w:r>
          </w:p>
        </w:tc>
        <w:tc>
          <w:tcPr>
            <w:tcW w:w="793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92379">
            <w:pPr>
              <w:spacing w:after="0" w:line="240" w:lineRule="auto"/>
              <w:rPr>
                <w:rFonts w:ascii="Times New Roman" w:hAnsi="Times New Roman" w:eastAsia="仿宋" w:cs="Times New Roman"/>
                <w:color w:val="000000"/>
                <w:sz w:val="28"/>
                <w:szCs w:val="28"/>
                <w:lang w:val="en-US" w:eastAsia="zh-CN"/>
              </w:rPr>
            </w:pPr>
            <w:r>
              <w:rPr>
                <w:rFonts w:ascii="Times New Roman" w:hAnsi="Times New Roman" w:eastAsia="仿宋" w:cs="Times New Roman"/>
                <w:color w:val="000000"/>
                <w:sz w:val="28"/>
                <w:szCs w:val="28"/>
                <w:lang w:val="en-US" w:eastAsia="zh-CN"/>
              </w:rPr>
              <w:t>江苏金融租赁股份有限公司成立于1985年6月，是经国家金融监督管理总局批准从事融资租赁业务的国有控股非银行金融机构，是国内著名的金融租赁公司之一。公司于2018年3月1日挂牌上市（股票代码：600901），是目前国内唯一登陆A股的金融租赁公司。公司主要股东包括江苏交通控股有限公司、南京银行、国际金融公司（IFC）和法国巴黎银行租赁公司（BPLG）等。</w:t>
            </w:r>
          </w:p>
          <w:p w14:paraId="7D4D966F">
            <w:pPr>
              <w:spacing w:after="0" w:line="240" w:lineRule="auto"/>
              <w:rPr>
                <w:rFonts w:ascii="Times New Roman" w:hAnsi="Times New Roman" w:eastAsia="仿宋" w:cs="Times New Roman"/>
                <w:color w:val="000000"/>
                <w:sz w:val="28"/>
                <w:szCs w:val="28"/>
                <w:lang w:val="en-US" w:eastAsia="zh-CN"/>
              </w:rPr>
            </w:pPr>
            <w:r>
              <w:rPr>
                <w:rFonts w:ascii="Times New Roman" w:hAnsi="Times New Roman" w:eastAsia="仿宋" w:cs="Times New Roman"/>
                <w:color w:val="000000"/>
                <w:sz w:val="28"/>
                <w:szCs w:val="28"/>
                <w:lang w:val="en-US" w:eastAsia="zh-CN"/>
              </w:rPr>
              <w:t>公司聚焦绿色能源、汽车金融、高端装备等10大板块</w:t>
            </w:r>
            <w:r>
              <w:rPr>
                <w:rFonts w:hint="eastAsia" w:ascii="Times New Roman" w:hAnsi="Times New Roman" w:eastAsia="仿宋" w:cs="Times New Roman"/>
                <w:color w:val="000000"/>
                <w:sz w:val="28"/>
                <w:szCs w:val="28"/>
                <w:lang w:val="en-US" w:eastAsia="zh-CN"/>
              </w:rPr>
              <w:t>10</w:t>
            </w:r>
            <w:r>
              <w:rPr>
                <w:rFonts w:ascii="Times New Roman" w:hAnsi="Times New Roman" w:eastAsia="仿宋" w:cs="Times New Roman"/>
                <w:color w:val="000000"/>
                <w:sz w:val="28"/>
                <w:szCs w:val="28"/>
                <w:lang w:val="en-US" w:eastAsia="zh-CN"/>
              </w:rPr>
              <w:t>0多个细分市场，先后为数万家企业和个人提供了专业化、特色化融资租赁服务，累计投放各类设备数量数万台。公司充分发挥多元化股东优势，结合国际、国内租赁实践经验，不断创新服务模式，持续提升核心竞争力，致力于打造国际领先的设备租赁服务商。</w:t>
            </w:r>
          </w:p>
          <w:p w14:paraId="35FE11C2">
            <w:pPr>
              <w:spacing w:after="0" w:line="240" w:lineRule="auto"/>
              <w:rPr>
                <w:rFonts w:ascii="Times New Roman" w:hAnsi="Times New Roman" w:eastAsia="仿宋" w:cs="Times New Roman"/>
                <w:color w:val="000000"/>
                <w:kern w:val="0"/>
                <w:sz w:val="28"/>
                <w:szCs w:val="28"/>
                <w:lang w:val="en-US" w:eastAsia="zh-CN" w:bidi="ar-SA"/>
              </w:rPr>
            </w:pPr>
          </w:p>
        </w:tc>
      </w:tr>
      <w:tr w14:paraId="459F9F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07AE742A">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联系人</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2A165">
            <w:pPr>
              <w:spacing w:after="0" w:line="240" w:lineRule="auto"/>
              <w:jc w:val="center"/>
              <w:rPr>
                <w:rFonts w:ascii="Times New Roman" w:hAnsi="Times New Roman" w:eastAsia="黑体" w:cs="Times New Roman"/>
                <w:b/>
                <w:bCs/>
                <w:color w:val="000000"/>
                <w:kern w:val="0"/>
                <w:sz w:val="28"/>
                <w:szCs w:val="28"/>
                <w:lang w:val="zh-CN" w:eastAsia="en-US" w:bidi="ar-SA"/>
              </w:rPr>
            </w:pPr>
            <w:r>
              <w:rPr>
                <w:rFonts w:hint="eastAsia" w:ascii="Times New Roman" w:hAnsi="Times New Roman" w:eastAsia="黑体" w:cs="Times New Roman"/>
                <w:b/>
                <w:bCs/>
                <w:color w:val="000000"/>
                <w:sz w:val="28"/>
                <w:szCs w:val="28"/>
                <w:lang w:eastAsia="zh-CN"/>
              </w:rPr>
              <w:t>姓名</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397AB">
            <w:pPr>
              <w:spacing w:after="0" w:line="240" w:lineRule="auto"/>
              <w:jc w:val="center"/>
              <w:rPr>
                <w:rFonts w:ascii="Times New Roman" w:hAnsi="Times New Roman" w:eastAsia="仿宋" w:cs="Times New Roman"/>
                <w:color w:val="000000"/>
                <w:kern w:val="0"/>
                <w:sz w:val="28"/>
                <w:szCs w:val="28"/>
                <w:lang w:val="zh-CN" w:eastAsia="zh-CN" w:bidi="ar-SA"/>
              </w:rPr>
            </w:pPr>
            <w:r>
              <w:rPr>
                <w:rFonts w:hint="eastAsia" w:ascii="Times New Roman" w:hAnsi="Times New Roman" w:eastAsia="仿宋" w:cs="Times New Roman"/>
                <w:color w:val="000000"/>
                <w:sz w:val="28"/>
                <w:szCs w:val="28"/>
                <w:lang w:eastAsia="zh-CN"/>
              </w:rPr>
              <w:t>姜欣荣</w:t>
            </w: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407C9">
            <w:pPr>
              <w:spacing w:after="0" w:line="240" w:lineRule="auto"/>
              <w:jc w:val="center"/>
              <w:rPr>
                <w:rFonts w:ascii="Times New Roman" w:hAnsi="Times New Roman" w:eastAsia="黑体" w:cs="Times New Roman"/>
                <w:b/>
                <w:bCs/>
                <w:color w:val="000000"/>
                <w:kern w:val="0"/>
                <w:sz w:val="28"/>
                <w:szCs w:val="28"/>
                <w:lang w:val="zh-CN" w:eastAsia="en-US" w:bidi="ar-SA"/>
              </w:rPr>
            </w:pPr>
            <w:r>
              <w:rPr>
                <w:rFonts w:hint="eastAsia" w:ascii="Times New Roman" w:hAnsi="Times New Roman" w:eastAsia="黑体" w:cs="Times New Roman"/>
                <w:b/>
                <w:bCs/>
                <w:color w:val="000000"/>
                <w:sz w:val="28"/>
                <w:szCs w:val="28"/>
                <w:lang w:eastAsia="zh-CN"/>
              </w:rPr>
              <w:t>职务</w:t>
            </w:r>
          </w:p>
        </w:tc>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E8993">
            <w:pPr>
              <w:spacing w:after="0" w:line="240" w:lineRule="auto"/>
              <w:jc w:val="center"/>
              <w:rPr>
                <w:rFonts w:ascii="Times New Roman" w:hAnsi="Times New Roman" w:eastAsia="仿宋" w:cs="Times New Roman"/>
                <w:color w:val="000000"/>
                <w:kern w:val="0"/>
                <w:sz w:val="28"/>
                <w:szCs w:val="28"/>
                <w:lang w:val="zh-CN" w:eastAsia="zh-CN" w:bidi="ar-SA"/>
              </w:rPr>
            </w:pPr>
            <w:r>
              <w:rPr>
                <w:rFonts w:hint="eastAsia" w:ascii="Times New Roman" w:hAnsi="Times New Roman" w:eastAsia="仿宋" w:cs="Times New Roman"/>
                <w:color w:val="000000"/>
                <w:sz w:val="28"/>
                <w:szCs w:val="28"/>
                <w:lang w:eastAsia="zh-CN"/>
              </w:rPr>
              <w:t>人工智能实验室主任</w:t>
            </w:r>
          </w:p>
        </w:tc>
      </w:tr>
      <w:tr w14:paraId="0984E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continue"/>
            <w:tcBorders>
              <w:top w:val="single" w:color="000000" w:sz="4" w:space="0"/>
              <w:left w:val="single" w:color="000000" w:sz="4" w:space="0"/>
              <w:bottom w:val="single" w:color="000000" w:sz="4" w:space="0"/>
              <w:right w:val="single" w:color="000000" w:sz="4" w:space="0"/>
            </w:tcBorders>
            <w:vAlign w:val="center"/>
          </w:tcPr>
          <w:p w14:paraId="33D9C1A2">
            <w:pPr>
              <w:spacing w:after="0" w:line="240" w:lineRule="auto"/>
              <w:rPr>
                <w:rFonts w:ascii="Times New Roman" w:hAnsi="Times New Roman" w:eastAsia="黑体" w:cs="Times New Roman"/>
                <w:b/>
                <w:bCs/>
                <w:color w:val="000000"/>
                <w:sz w:val="28"/>
                <w:szCs w:val="28"/>
                <w:lang w:eastAsia="zh-CN"/>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EA200">
            <w:pPr>
              <w:spacing w:after="0" w:line="240" w:lineRule="auto"/>
              <w:jc w:val="center"/>
              <w:rPr>
                <w:rFonts w:ascii="Times New Roman" w:hAnsi="Times New Roman" w:eastAsia="黑体" w:cs="Times New Roman"/>
                <w:b/>
                <w:bCs/>
                <w:color w:val="000000"/>
                <w:kern w:val="0"/>
                <w:sz w:val="28"/>
                <w:szCs w:val="28"/>
                <w:lang w:val="zh-CN" w:eastAsia="en-US" w:bidi="ar-SA"/>
              </w:rPr>
            </w:pPr>
            <w:r>
              <w:rPr>
                <w:rFonts w:hint="eastAsia" w:ascii="Times New Roman" w:hAnsi="Times New Roman" w:eastAsia="黑体" w:cs="Times New Roman"/>
                <w:b/>
                <w:bCs/>
                <w:color w:val="000000"/>
                <w:sz w:val="28"/>
                <w:szCs w:val="28"/>
                <w:lang w:eastAsia="zh-CN"/>
              </w:rPr>
              <w:t>手机</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69D4E">
            <w:pPr>
              <w:spacing w:after="0" w:line="240" w:lineRule="auto"/>
              <w:jc w:val="center"/>
              <w:rPr>
                <w:rFonts w:ascii="Times New Roman" w:hAnsi="Times New Roman" w:eastAsia="仿宋" w:cs="Times New Roman"/>
                <w:color w:val="000000"/>
                <w:kern w:val="0"/>
                <w:sz w:val="28"/>
                <w:szCs w:val="28"/>
                <w:lang w:val="zh-CN" w:eastAsia="zh-CN" w:bidi="ar-SA"/>
              </w:rPr>
            </w:pPr>
            <w:r>
              <w:rPr>
                <w:rFonts w:hint="eastAsia" w:ascii="Times New Roman" w:hAnsi="Times New Roman" w:eastAsia="仿宋" w:cs="Times New Roman"/>
                <w:color w:val="000000"/>
                <w:sz w:val="28"/>
                <w:szCs w:val="28"/>
                <w:lang w:eastAsia="zh-CN"/>
              </w:rPr>
              <w:t>18362926611</w:t>
            </w:r>
          </w:p>
        </w:tc>
        <w:tc>
          <w:tcPr>
            <w:tcW w:w="13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4281D">
            <w:pPr>
              <w:spacing w:after="0" w:line="240" w:lineRule="auto"/>
              <w:jc w:val="center"/>
              <w:rPr>
                <w:rFonts w:ascii="Times New Roman" w:hAnsi="Times New Roman" w:eastAsia="黑体" w:cs="Times New Roman"/>
                <w:b/>
                <w:bCs/>
                <w:color w:val="000000"/>
                <w:kern w:val="0"/>
                <w:sz w:val="28"/>
                <w:szCs w:val="28"/>
                <w:lang w:val="zh-CN" w:eastAsia="en-US" w:bidi="ar-SA"/>
              </w:rPr>
            </w:pPr>
            <w:r>
              <w:rPr>
                <w:rFonts w:hint="eastAsia" w:ascii="Times New Roman" w:hAnsi="Times New Roman" w:eastAsia="黑体" w:cs="Times New Roman"/>
                <w:b/>
                <w:bCs/>
                <w:color w:val="000000"/>
                <w:sz w:val="28"/>
                <w:szCs w:val="28"/>
                <w:lang w:eastAsia="zh-CN"/>
              </w:rPr>
              <w:t>邮箱</w:t>
            </w:r>
          </w:p>
        </w:tc>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94CF1">
            <w:pPr>
              <w:spacing w:after="0" w:line="240" w:lineRule="auto"/>
              <w:jc w:val="center"/>
              <w:rPr>
                <w:rFonts w:ascii="Times New Roman" w:hAnsi="Times New Roman" w:eastAsia="仿宋" w:cs="Times New Roman"/>
                <w:color w:val="000000"/>
                <w:kern w:val="0"/>
                <w:sz w:val="28"/>
                <w:szCs w:val="28"/>
                <w:lang w:val="zh-CN" w:eastAsia="zh-CN" w:bidi="ar-SA"/>
              </w:rPr>
            </w:pPr>
            <w:r>
              <w:rPr>
                <w:rFonts w:hint="eastAsia" w:ascii="Times New Roman" w:hAnsi="Times New Roman" w:eastAsia="仿宋" w:cs="Times New Roman"/>
                <w:color w:val="000000"/>
                <w:sz w:val="28"/>
                <w:szCs w:val="28"/>
                <w:lang w:eastAsia="zh-CN"/>
              </w:rPr>
              <w:t>jxr@jsleasing.cn</w:t>
            </w:r>
          </w:p>
        </w:tc>
      </w:tr>
      <w:tr w14:paraId="71BA4B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7637A4FD">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二、命题信息</w:t>
            </w:r>
          </w:p>
        </w:tc>
      </w:tr>
      <w:tr w14:paraId="1A993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tcBorders>
              <w:top w:val="single" w:color="000000" w:sz="4" w:space="0"/>
              <w:left w:val="single" w:color="000000" w:sz="4" w:space="0"/>
              <w:bottom w:val="single" w:color="000000" w:sz="4" w:space="0"/>
              <w:right w:val="single" w:color="000000" w:sz="4" w:space="0"/>
            </w:tcBorders>
            <w:noWrap/>
            <w:vAlign w:val="center"/>
          </w:tcPr>
          <w:p w14:paraId="6C61EE5F">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Times New Roman"/>
                <w:b/>
                <w:bCs/>
                <w:color w:val="000000"/>
                <w:sz w:val="28"/>
                <w:szCs w:val="28"/>
                <w:lang w:eastAsia="zh-CN"/>
              </w:rPr>
              <w:t>命题名称</w:t>
            </w:r>
          </w:p>
        </w:tc>
        <w:tc>
          <w:tcPr>
            <w:tcW w:w="7937" w:type="dxa"/>
            <w:gridSpan w:val="4"/>
            <w:tcBorders>
              <w:top w:val="single" w:color="000000" w:sz="4" w:space="0"/>
              <w:left w:val="single" w:color="000000" w:sz="4" w:space="0"/>
              <w:bottom w:val="single" w:color="000000" w:sz="4" w:space="0"/>
              <w:right w:val="single" w:color="000000" w:sz="4" w:space="0"/>
            </w:tcBorders>
            <w:noWrap/>
            <w:vAlign w:val="center"/>
          </w:tcPr>
          <w:p w14:paraId="720E4805">
            <w:pPr>
              <w:spacing w:after="0" w:line="240" w:lineRule="auto"/>
              <w:rPr>
                <w:rFonts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面向汽车融资租赁的特殊介质凭证结构化提取</w:t>
            </w:r>
            <w:bookmarkStart w:id="0" w:name="_GoBack"/>
            <w:bookmarkEnd w:id="0"/>
            <w:r>
              <w:rPr>
                <w:rFonts w:hint="eastAsia" w:ascii="Times New Roman" w:hAnsi="Times New Roman" w:eastAsia="仿宋" w:cs="Times New Roman"/>
                <w:b/>
                <w:bCs/>
                <w:color w:val="000000"/>
                <w:sz w:val="28"/>
                <w:szCs w:val="28"/>
                <w:lang w:eastAsia="zh-CN"/>
              </w:rPr>
              <w:t>与多附件同一性判定</w:t>
            </w:r>
          </w:p>
        </w:tc>
      </w:tr>
      <w:tr w14:paraId="248F76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2126" w:type="dxa"/>
            <w:vMerge w:val="restart"/>
            <w:tcBorders>
              <w:top w:val="single" w:color="000000" w:sz="4" w:space="0"/>
              <w:left w:val="single" w:color="000000" w:sz="4" w:space="0"/>
              <w:bottom w:val="single" w:color="000000" w:sz="4" w:space="0"/>
              <w:right w:val="single" w:color="000000" w:sz="4" w:space="0"/>
            </w:tcBorders>
            <w:noWrap/>
            <w:vAlign w:val="center"/>
          </w:tcPr>
          <w:p w14:paraId="0FC512A8">
            <w:pPr>
              <w:spacing w:after="0" w:line="240" w:lineRule="auto"/>
              <w:jc w:val="center"/>
              <w:rPr>
                <w:rFonts w:ascii="Times New Roman" w:hAnsi="Times New Roman" w:eastAsia="黑体" w:cs="Times New Roman"/>
                <w:b/>
                <w:bCs/>
                <w:color w:val="000000"/>
                <w:sz w:val="28"/>
                <w:szCs w:val="28"/>
              </w:rPr>
            </w:pPr>
            <w:r>
              <w:rPr>
                <w:rFonts w:hint="eastAsia" w:ascii="Times New Roman" w:hAnsi="Times New Roman" w:eastAsia="黑体" w:cs="宋体"/>
                <w:b/>
                <w:bCs/>
                <w:color w:val="000000"/>
                <w:sz w:val="28"/>
                <w:szCs w:val="28"/>
                <w:lang w:eastAsia="zh-CN"/>
              </w:rPr>
              <w:t>命题概述</w:t>
            </w:r>
          </w:p>
        </w:tc>
        <w:tc>
          <w:tcPr>
            <w:tcW w:w="7937" w:type="dxa"/>
            <w:gridSpan w:val="4"/>
            <w:vMerge w:val="restart"/>
            <w:tcBorders>
              <w:top w:val="single" w:color="000000" w:sz="4" w:space="0"/>
              <w:left w:val="single" w:color="000000" w:sz="4" w:space="0"/>
              <w:bottom w:val="single" w:color="000000" w:sz="4" w:space="0"/>
              <w:right w:val="single" w:color="000000" w:sz="4" w:space="0"/>
            </w:tcBorders>
            <w:noWrap/>
            <w:vAlign w:val="center"/>
          </w:tcPr>
          <w:p w14:paraId="68AD3B8B">
            <w:pPr>
              <w:spacing w:after="0" w:line="240" w:lineRule="auto"/>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如何在汽车融资租赁放款审核业务场景下，基于对打刻字符、防伪水印背景干扰、多页嵌套等特殊介质凭证的鲁棒解析，结合多附件版面特征匹配技术，解决关键凭证信息提取精度不足、多页附件归属关系混乱的问题？</w:t>
            </w:r>
          </w:p>
        </w:tc>
      </w:tr>
      <w:tr w14:paraId="060E78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5F136734">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业务场景描述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清晰说明现实业务现状、核心瓶颈及亟需解决的必要性</w:t>
            </w:r>
            <w:r>
              <w:rPr>
                <w:rFonts w:ascii="Times New Roman" w:hAnsi="Times New Roman" w:eastAsia="仿宋" w:cs="Times New Roman"/>
                <w:color w:val="000000"/>
                <w:sz w:val="28"/>
                <w:szCs w:val="28"/>
                <w:lang w:eastAsia="zh-CN"/>
              </w:rPr>
              <w:t>）</w:t>
            </w:r>
          </w:p>
          <w:p w14:paraId="0CD606FE">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汽车融资租赁放款审核中，部分核心权属凭证具有异于普通票据的特殊物理形态。例如，机动车登记证书封面关键信息为打刻字符，内页采用安全防伪水印纸张，水印纹理与前景文字叠加形成复杂背景干扰，且信息跨多页呈嵌套表格分布；部分保单骑缝章页、厂家纸质合格证的压凸防伪区等也具有类似特征。</w:t>
            </w:r>
          </w:p>
          <w:p w14:paraId="47716E30">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围绕此类特殊介质凭证的审核存在两大核心瓶颈：</w:t>
            </w:r>
          </w:p>
          <w:p w14:paraId="194DB160">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第一，常规识别手段失效。 打刻字符对比度低，成像后仅残留凹凸阴影，平面OCR引擎无法切分识别；内页防伪水印与印刷文字重叠交织，水印纹理在扫描/拍照时形成随机背景噪声，通用模型易将水印元素误提取为文字笔画或造成字符粘连断裂；多页嵌套表格版式层级复杂，易出现键值错配或字段串行。审核人员需在特定角度反复翻页比对，单证审核耗时极长，高峰时段积压严重。</w:t>
            </w:r>
          </w:p>
          <w:p w14:paraId="056971F4">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特别是在</w:t>
            </w:r>
            <w:r>
              <w:rPr>
                <w:rFonts w:hint="eastAsia" w:ascii="Times New Roman" w:hAnsi="Times New Roman" w:eastAsia="仿宋" w:cs="Times New Roman"/>
                <w:color w:val="000000"/>
                <w:sz w:val="28"/>
                <w:szCs w:val="28"/>
                <w:lang w:val="en-US" w:eastAsia="zh-CN"/>
              </w:rPr>
              <w:t>机动车登记证书</w:t>
            </w:r>
            <w:r>
              <w:rPr>
                <w:rFonts w:hint="eastAsia" w:ascii="Times New Roman" w:hAnsi="Times New Roman" w:eastAsia="仿宋" w:cs="Times New Roman"/>
                <w:color w:val="000000"/>
                <w:sz w:val="28"/>
                <w:szCs w:val="28"/>
                <w:lang w:eastAsia="zh-CN"/>
              </w:rPr>
              <w:t>首页右上角等关键编码区域（通常为登记证编号或车辆识别代号VIN），往往同时叠加冲压打刻的浮凸字形与复杂的防伪底纹背景，且该区域在实际使用中更易磨损，导致编码字符模糊、断裂或与底纹完全粘连，成为整本凭证中识别难度最高、精度最差的“硬骨头”。</w:t>
            </w:r>
          </w:p>
          <w:p w14:paraId="407E3FE5">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第二，多附件归属混乱。 此类凭证通常需拍摄封面、打刻区、不同内页及跨页等多张图片，上传顺序随机、命名不规范，审核员必须人工归集哪些图片属于同一份凭证，约15%—20%的审核时效消耗于此，且因串页、漏页导致的核验错误时有发生，直接威胁资金安全。</w:t>
            </w:r>
          </w:p>
          <w:p w14:paraId="04FF2C7E">
            <w:pPr>
              <w:spacing w:after="0" w:line="240" w:lineRule="auto"/>
              <w:ind w:firstLine="560" w:firstLineChars="200"/>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因此，亟需一套能克服打刻、水印背景干扰、多页嵌套等特殊物理特性的凭证结构化提取方案，并与附件自动归集深度集成，重构人工审核流程。</w:t>
            </w:r>
          </w:p>
        </w:tc>
      </w:tr>
      <w:tr w14:paraId="4F446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1311C940">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技术攻关问题描述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提炼业务瓶颈对应的技术卡点，说明难点及现有方法不足</w:t>
            </w:r>
            <w:r>
              <w:rPr>
                <w:rFonts w:ascii="Times New Roman" w:hAnsi="Times New Roman" w:eastAsia="仿宋" w:cs="Times New Roman"/>
                <w:color w:val="000000"/>
                <w:sz w:val="28"/>
                <w:szCs w:val="28"/>
                <w:lang w:eastAsia="zh-CN"/>
              </w:rPr>
              <w:t>）</w:t>
            </w:r>
          </w:p>
          <w:p w14:paraId="1629A135">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1. 磨损底纹背景下的浮凸编码精准识别与打刻字符的立体成像识别</w:t>
            </w:r>
          </w:p>
          <w:p w14:paraId="2B9CEADE">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机动车登记证</w:t>
            </w:r>
            <w:r>
              <w:rPr>
                <w:rFonts w:hint="eastAsia" w:ascii="Times New Roman" w:hAnsi="Times New Roman" w:eastAsia="仿宋" w:cs="Times New Roman"/>
                <w:color w:val="000000"/>
                <w:sz w:val="28"/>
                <w:szCs w:val="28"/>
                <w:lang w:eastAsia="zh-CN"/>
              </w:rPr>
              <w:t>首页</w:t>
            </w:r>
            <w:r>
              <w:rPr>
                <w:rFonts w:hint="eastAsia" w:ascii="Times New Roman" w:hAnsi="Times New Roman" w:eastAsia="仿宋" w:cs="Times New Roman"/>
                <w:color w:val="000000"/>
                <w:sz w:val="28"/>
                <w:szCs w:val="28"/>
                <w:lang w:val="en-US" w:eastAsia="zh-CN"/>
              </w:rPr>
              <w:t>部分信息</w:t>
            </w:r>
            <w:r>
              <w:rPr>
                <w:rFonts w:hint="eastAsia" w:ascii="Times New Roman" w:hAnsi="Times New Roman" w:eastAsia="仿宋" w:cs="Times New Roman"/>
                <w:color w:val="000000"/>
                <w:sz w:val="28"/>
                <w:szCs w:val="28"/>
                <w:lang w:eastAsia="zh-CN"/>
              </w:rPr>
              <w:t>（如登记证编号、VIN码）及封面的打刻字符，均为冲压形成的浮凸文字，仰赖微小阴影呈现字形，无显着色差。该编码区域还叠加了复杂的防伪底纹，且在实际使用中极易磨损，导致字符边缘模糊、笔画断裂或与底纹完全粘连。常规OCR基于高对比度平面文字假设，在此多因素耦合的场景下字位切分与识别率几近为零，成为制约凭证整体识别精度的核心卡点。</w:t>
            </w:r>
          </w:p>
          <w:p w14:paraId="6715981A">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2. 防伪水印背景下的内页正文文字提取干扰</w:t>
            </w:r>
          </w:p>
          <w:p w14:paraId="5B2591EA">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内页安全防伪水印纸张在扫描或拍照时，水印纹理与前景印刷文字叠加交织，形成非均匀且难以建模的背景噪声。传统去噪算法在去除水印时易同时磨损笔画边缘，导致字符断裂或变形，严重影响后续识别精度。</w:t>
            </w:r>
          </w:p>
          <w:p w14:paraId="6408C6A4">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3. 多页跨页复杂版式的层级字段解析与关联</w:t>
            </w:r>
          </w:p>
          <w:p w14:paraId="2DF799E4">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凭证核心信息分散在结构各异的多个页面，如封面打刻区、注册信息栏首页（多行多列表格）、续页与抵押栏（动态增减行）等。各页版式逻辑独立又相互关联，字段间存在跨页一致性约束。现有方法多假设单页固定模板，难以处理跨页动态表格对齐和单元格内键值对的层级嵌套，易造成信息冗余、串行或遗漏。</w:t>
            </w:r>
          </w:p>
          <w:p w14:paraId="62AB84BF">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val="en-US" w:eastAsia="zh-CN"/>
              </w:rPr>
              <w:t>4</w:t>
            </w:r>
            <w:r>
              <w:rPr>
                <w:rFonts w:hint="eastAsia" w:ascii="Times New Roman" w:hAnsi="Times New Roman" w:eastAsia="仿宋" w:cs="Times New Roman"/>
                <w:color w:val="000000"/>
                <w:sz w:val="28"/>
                <w:szCs w:val="28"/>
                <w:lang w:eastAsia="zh-CN"/>
              </w:rPr>
              <w:t>. 多源异构数据环境下跨单据关键信息一致性校验</w:t>
            </w:r>
          </w:p>
          <w:p w14:paraId="39953F38">
            <w:pPr>
              <w:spacing w:after="0" w:line="240" w:lineRule="auto"/>
              <w:ind w:firstLine="560" w:firstLineChars="200"/>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结构化提取后需对同一申请的多份单据进行字段交叉核验。同一信息在不同单据中表述方式存在差异，主键对齐依赖非精确匹配，且业务对不一致的容忍度极低。现有精确字符串比对误报率高，简单相似度阈值难以统一。</w:t>
            </w:r>
          </w:p>
        </w:tc>
      </w:tr>
      <w:tr w14:paraId="51468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05D87314">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攻关任务描述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针对每一个技术攻关问题，明确需完成的具体任务及成果形式</w:t>
            </w:r>
            <w:r>
              <w:rPr>
                <w:rFonts w:ascii="Times New Roman" w:hAnsi="Times New Roman" w:eastAsia="仿宋" w:cs="Times New Roman"/>
                <w:color w:val="000000"/>
                <w:sz w:val="28"/>
                <w:szCs w:val="28"/>
                <w:lang w:eastAsia="zh-CN"/>
              </w:rPr>
              <w:t>）</w:t>
            </w:r>
          </w:p>
          <w:p w14:paraId="177CC6CA">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任务1：面向磨损底纹背景与浮凸打刻的编码字符精准识别模块</w:t>
            </w:r>
          </w:p>
          <w:p w14:paraId="21A61929">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（1）磨损与底纹双重干扰下的图像复原增强</w:t>
            </w:r>
          </w:p>
          <w:p w14:paraId="0BB91310">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针对首页右上角编码区域，设计专用图像复原网络，通过生成式模型学习防伪底纹的底层分布规律，实现底纹与浮凸字符的精细分离；同时引入磨损修复分支，对断裂、淡化的字符笔画进行智能补全，重建可供识别的清晰字符图像。</w:t>
            </w:r>
          </w:p>
          <w:p w14:paraId="228DBB4F">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（2）浮凸字符的立体深度线索提取与多模态融合识别</w:t>
            </w:r>
          </w:p>
          <w:p w14:paraId="74D48B92">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对打刻形成的浮凸字符，设计融合2D纹理特征与3D深度线索（通过光度立体或多角度光照合成估算）的多模态识别网络，弥补单一平面特征在弱对比度下的失效缺陷，显著提升对微小阴影字形的识别鲁棒性。</w:t>
            </w:r>
          </w:p>
          <w:p w14:paraId="314BFB5D">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（3）打刻长序列文本的高精度转录</w:t>
            </w:r>
          </w:p>
          <w:p w14:paraId="3CF24FE8">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针对VIN码、登记证编号等固长或变长序列编码，构建结合笔画连续性约束与序列语言模型的端到端识别器，实现整段编码文本的精准转录。</w:t>
            </w:r>
          </w:p>
          <w:p w14:paraId="098EDBB2">
            <w:pPr>
              <w:spacing w:after="0" w:line="240" w:lineRule="auto"/>
              <w:jc w:val="both"/>
              <w:rPr>
                <w:rFonts w:hint="eastAsia" w:ascii="Times New Roman" w:hAnsi="Times New Roman" w:eastAsia="仿宋" w:cs="Times New Roman"/>
                <w:color w:val="000000"/>
                <w:sz w:val="28"/>
                <w:szCs w:val="28"/>
                <w:lang w:eastAsia="zh-CN"/>
              </w:rPr>
            </w:pPr>
          </w:p>
          <w:p w14:paraId="22576031">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任务2：面向防伪水印干扰的内页文字提取增强模块</w:t>
            </w:r>
          </w:p>
          <w:p w14:paraId="7183AFAD">
            <w:pPr>
              <w:spacing w:after="0" w:line="240" w:lineRule="auto"/>
              <w:jc w:val="both"/>
              <w:rPr>
                <w:rFonts w:hint="eastAsia" w:ascii="Times New Roman" w:hAnsi="Times New Roman" w:eastAsia="仿宋" w:cs="Times New Roman"/>
                <w:color w:val="000000"/>
                <w:sz w:val="28"/>
                <w:szCs w:val="28"/>
                <w:lang w:eastAsia="zh-CN"/>
              </w:rPr>
            </w:pPr>
          </w:p>
          <w:p w14:paraId="1187FBE4">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（1）水印-文字双流分解与自适应分离</w:t>
            </w:r>
          </w:p>
          <w:p w14:paraId="310F3420">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设计基于图像层分离网络的去水印预处理模块，将水印纹理与前景文字进行像素级解耦，在去除水印的同时保留文字笔画边缘的完整性和细节清晰度。</w:t>
            </w:r>
          </w:p>
          <w:p w14:paraId="1218A343">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（2）残余水印鲁棒识别训练</w:t>
            </w:r>
          </w:p>
          <w:p w14:paraId="19EBD2D4">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在OCR模型的训练过程中，引入带有随机水印叠加与弱光照的对抗样本，使模型对去水印不彻底的残余纹理具备高鲁棒性，避免将水印碎片误识别为文字。</w:t>
            </w:r>
          </w:p>
          <w:p w14:paraId="34CDCA3C">
            <w:pPr>
              <w:spacing w:after="0" w:line="240" w:lineRule="auto"/>
              <w:jc w:val="both"/>
              <w:rPr>
                <w:rFonts w:hint="eastAsia" w:ascii="Times New Roman" w:hAnsi="Times New Roman" w:eastAsia="仿宋" w:cs="Times New Roman"/>
                <w:color w:val="000000"/>
                <w:sz w:val="28"/>
                <w:szCs w:val="28"/>
                <w:lang w:eastAsia="zh-CN"/>
              </w:rPr>
            </w:pPr>
          </w:p>
          <w:p w14:paraId="448828BF">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任务3：多页凭证的版面解析与跨页关联建模</w:t>
            </w:r>
          </w:p>
          <w:p w14:paraId="2A2B3070">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（1）页面类型自动分类与逻辑排序</w:t>
            </w:r>
          </w:p>
          <w:p w14:paraId="04A38D3D">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训练页面分类模型，自动区分封面、打刻页、登记栏首页、续页、抵押页、跨页合拍等类型，并根据内容逻辑输出正确的页面阅读顺序。</w:t>
            </w:r>
          </w:p>
          <w:p w14:paraId="34BF0DF5">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（2）嵌套表格结构解析</w:t>
            </w:r>
          </w:p>
          <w:p w14:paraId="12B32BA8">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对登记栏等表格区域进行基于图神经网络或Transformer的单元格检测、行列分割和合并单元格推断，生成层级化树状结构，准确定义键值对归属。</w:t>
            </w:r>
          </w:p>
          <w:p w14:paraId="41E9B2EA">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（3）跨页字段一致性约束与冲突消解</w:t>
            </w:r>
          </w:p>
          <w:p w14:paraId="418CB3C1">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在损失函数中引入跨页约束项（如封面打刻VIN与内页登记VIN必须一致），通过联合推断减少冲突结果；对动态列表区域设计序列对齐算法，实现跨页记录拼接。</w:t>
            </w:r>
          </w:p>
          <w:p w14:paraId="19E51498">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（4）整本凭证统一结构化输出</w:t>
            </w:r>
          </w:p>
          <w:p w14:paraId="2EB9EB0E">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整合以上结果，输出无冗余、无遗漏的完整JSON文档，包含所有关键字段及页面位置溯源。</w:t>
            </w:r>
          </w:p>
          <w:p w14:paraId="7C935479">
            <w:pPr>
              <w:spacing w:after="0" w:line="240" w:lineRule="auto"/>
              <w:jc w:val="both"/>
              <w:rPr>
                <w:rFonts w:hint="eastAsia" w:ascii="Times New Roman" w:hAnsi="Times New Roman" w:eastAsia="仿宋" w:cs="Times New Roman"/>
                <w:color w:val="000000"/>
                <w:sz w:val="28"/>
                <w:szCs w:val="28"/>
                <w:lang w:eastAsia="zh-CN"/>
              </w:rPr>
            </w:pPr>
          </w:p>
          <w:p w14:paraId="1F3CFE03">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w:t>
            </w:r>
            <w:r>
              <w:rPr>
                <w:rFonts w:hint="eastAsia" w:ascii="Times New Roman" w:hAnsi="Times New Roman" w:eastAsia="仿宋" w:cs="Times New Roman"/>
                <w:color w:val="000000"/>
                <w:sz w:val="28"/>
                <w:szCs w:val="28"/>
                <w:lang w:val="en-US" w:eastAsia="zh-CN"/>
              </w:rPr>
              <w:t>4</w:t>
            </w:r>
            <w:r>
              <w:rPr>
                <w:rFonts w:hint="eastAsia" w:ascii="Times New Roman" w:hAnsi="Times New Roman" w:eastAsia="仿宋" w:cs="Times New Roman"/>
                <w:color w:val="000000"/>
                <w:sz w:val="28"/>
                <w:szCs w:val="28"/>
                <w:lang w:eastAsia="zh-CN"/>
              </w:rPr>
              <w:t>：跨单据字段对齐与鲁棒一致性校验</w:t>
            </w:r>
          </w:p>
          <w:p w14:paraId="2D7944A1">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（1）字段标准化与实体链接</w:t>
            </w:r>
          </w:p>
          <w:p w14:paraId="32D0A9AD">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构建字段值标准化管道，对日期、金额、地址等实体进行统一表示，利用模糊匹配与知识图谱消除书写变体。</w:t>
            </w:r>
          </w:p>
          <w:p w14:paraId="6D6E2361">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（2）多层级一致性校验规则框架</w:t>
            </w:r>
          </w:p>
          <w:p w14:paraId="365BDE2D">
            <w:pPr>
              <w:spacing w:after="0" w:line="240" w:lineRule="auto"/>
              <w:ind w:firstLine="560" w:firstLineChars="200"/>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支持完全一致、数值容差、列表包含、条件必填等复杂校验逻辑的配置化定义，并允许业务人员通过界面进行维护。</w:t>
            </w:r>
          </w:p>
          <w:p w14:paraId="537B8B38">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（3）校验结果分级与可解释报告</w:t>
            </w:r>
          </w:p>
          <w:p w14:paraId="575FBE9E">
            <w:pPr>
              <w:spacing w:after="0" w:line="240" w:lineRule="auto"/>
              <w:ind w:firstLine="560" w:firstLineChars="200"/>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对每个校验点输出一致/不一致/存疑三种结论，并为不一致项提供具体的字段比对快照和差异高亮，支撑人工复核。</w:t>
            </w:r>
          </w:p>
        </w:tc>
      </w:tr>
      <w:tr w14:paraId="59A1E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4B3073CD">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现有基础</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命题单位针对技术攻关难点和攻关任务，已开展的研究工作或验证尝试及效果</w:t>
            </w:r>
            <w:r>
              <w:rPr>
                <w:rFonts w:ascii="Times New Roman" w:hAnsi="Times New Roman" w:eastAsia="仿宋" w:cs="Times New Roman"/>
                <w:color w:val="000000"/>
                <w:sz w:val="28"/>
                <w:szCs w:val="28"/>
                <w:lang w:eastAsia="zh-CN"/>
              </w:rPr>
              <w:t>）</w:t>
            </w:r>
          </w:p>
          <w:p w14:paraId="41C5B21A">
            <w:pPr>
              <w:keepNext w:val="0"/>
              <w:keepLines w:val="0"/>
              <w:widowControl/>
              <w:suppressLineNumbers w:val="0"/>
              <w:jc w:val="left"/>
              <w:rPr>
                <w:rFonts w:ascii="Times New Roman" w:hAnsi="Times New Roman" w:eastAsia="仿宋" w:cs="Times New Roman"/>
                <w:color w:val="000000"/>
                <w:sz w:val="28"/>
                <w:szCs w:val="28"/>
                <w:lang w:eastAsia="zh-CN"/>
              </w:rPr>
            </w:pPr>
            <w:r>
              <w:rPr>
                <w:rFonts w:ascii="仿宋" w:hAnsi="仿宋" w:eastAsia="仿宋" w:cs="仿宋"/>
                <w:b/>
                <w:bCs/>
                <w:color w:val="000000"/>
                <w:kern w:val="0"/>
                <w:sz w:val="28"/>
                <w:szCs w:val="28"/>
                <w:lang w:val="en-US" w:eastAsia="zh-CN" w:bidi="ar"/>
              </w:rPr>
              <w:t>数据资源：</w:t>
            </w:r>
            <w:r>
              <w:rPr>
                <w:rFonts w:hint="eastAsia" w:ascii="仿宋" w:hAnsi="仿宋" w:eastAsia="仿宋" w:cs="仿宋"/>
                <w:color w:val="000000"/>
                <w:kern w:val="0"/>
                <w:sz w:val="28"/>
                <w:szCs w:val="28"/>
                <w:lang w:val="en-US" w:eastAsia="zh-CN" w:bidi="ar"/>
              </w:rPr>
              <w:t>目前已有机动车登记证书等脱敏数据。</w:t>
            </w:r>
          </w:p>
        </w:tc>
      </w:tr>
      <w:tr w14:paraId="41143B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050BF7B9">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任务目标</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技术攻关的总体目标、量化技术指标及具体成果交付形式</w:t>
            </w:r>
            <w:r>
              <w:rPr>
                <w:rFonts w:ascii="Times New Roman" w:hAnsi="Times New Roman" w:eastAsia="仿宋" w:cs="Times New Roman"/>
                <w:color w:val="000000"/>
                <w:sz w:val="28"/>
                <w:szCs w:val="28"/>
                <w:lang w:eastAsia="zh-CN"/>
              </w:rPr>
              <w:t>）</w:t>
            </w:r>
          </w:p>
          <w:p w14:paraId="33215B88">
            <w:pPr>
              <w:spacing w:after="0" w:line="240" w:lineRule="auto"/>
              <w:jc w:val="both"/>
              <w:rPr>
                <w:rFonts w:hint="default" w:ascii="Times New Roman" w:hAnsi="Times New Roman" w:eastAsia="仿宋" w:cs="Times New Roman"/>
                <w:b/>
                <w:bCs/>
                <w:i/>
                <w:iCs/>
                <w:color w:val="000000"/>
                <w:sz w:val="28"/>
                <w:szCs w:val="28"/>
                <w:u w:val="single"/>
                <w:lang w:val="en-US" w:eastAsia="zh-CN"/>
              </w:rPr>
            </w:pPr>
            <w:r>
              <w:rPr>
                <w:rFonts w:hint="eastAsia" w:ascii="Times New Roman" w:hAnsi="Times New Roman" w:eastAsia="仿宋" w:cs="Times New Roman"/>
                <w:b/>
                <w:bCs/>
                <w:i/>
                <w:iCs/>
                <w:color w:val="000000"/>
                <w:sz w:val="28"/>
                <w:szCs w:val="28"/>
                <w:u w:val="single"/>
                <w:lang w:val="en-US" w:eastAsia="zh-CN"/>
              </w:rPr>
              <w:t>总体目标</w:t>
            </w:r>
          </w:p>
          <w:p w14:paraId="7579208E">
            <w:pPr>
              <w:spacing w:after="0" w:line="240" w:lineRule="auto"/>
              <w:ind w:firstLine="595"/>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构建一套集特殊介质凭证结构化提取、多附件同一性判定与跨单据一致性校验为一体的汽车融资租赁放款审核智能原型系统，将人工审核介入率降低至30%以下。</w:t>
            </w:r>
          </w:p>
          <w:p w14:paraId="42A13164">
            <w:pPr>
              <w:spacing w:after="0" w:line="240" w:lineRule="auto"/>
              <w:jc w:val="both"/>
              <w:rPr>
                <w:rFonts w:hint="eastAsia" w:ascii="Times New Roman" w:hAnsi="Times New Roman" w:eastAsia="仿宋" w:cs="Times New Roman"/>
                <w:b/>
                <w:bCs/>
                <w:i/>
                <w:iCs/>
                <w:color w:val="000000"/>
                <w:sz w:val="28"/>
                <w:szCs w:val="28"/>
                <w:u w:val="single"/>
                <w:lang w:eastAsia="zh-CN"/>
              </w:rPr>
            </w:pPr>
            <w:r>
              <w:rPr>
                <w:rFonts w:hint="eastAsia" w:ascii="Times New Roman" w:hAnsi="Times New Roman" w:eastAsia="仿宋" w:cs="Times New Roman"/>
                <w:b/>
                <w:bCs/>
                <w:i/>
                <w:iCs/>
                <w:color w:val="000000"/>
                <w:sz w:val="28"/>
                <w:szCs w:val="28"/>
                <w:u w:val="single"/>
                <w:lang w:eastAsia="zh-CN"/>
              </w:rPr>
              <w:t>技术指标（按任务分列）</w:t>
            </w:r>
          </w:p>
          <w:p w14:paraId="1CFD3E6F">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任务1 指标</w:t>
            </w:r>
          </w:p>
          <w:p w14:paraId="6C012714">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磨损底纹场景下浮凸编码（登记证编号/VIN）整段识别准确率 ≥ 95%</w:t>
            </w:r>
          </w:p>
          <w:p w14:paraId="25B32D55">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无磨损轻微底纹场景编码整段识别准确率 ≥ 99%</w:t>
            </w:r>
          </w:p>
          <w:p w14:paraId="74BD3959">
            <w:pPr>
              <w:spacing w:after="0" w:line="240" w:lineRule="auto"/>
              <w:ind w:firstLine="595"/>
              <w:jc w:val="both"/>
              <w:rPr>
                <w:rFonts w:hint="eastAsia" w:ascii="Times New Roman" w:hAnsi="Times New Roman" w:eastAsia="仿宋" w:cs="Times New Roman"/>
                <w:color w:val="000000"/>
                <w:sz w:val="28"/>
                <w:szCs w:val="28"/>
                <w:lang w:eastAsia="zh-CN"/>
              </w:rPr>
            </w:pPr>
          </w:p>
          <w:p w14:paraId="27CAFB76">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任务2 指标</w:t>
            </w:r>
          </w:p>
          <w:p w14:paraId="4F0E56F8">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水印背景干扰下内页关键字段提取完整率（字符级无断裂/无误增） ≥ 92%</w:t>
            </w:r>
          </w:p>
          <w:p w14:paraId="532AF3FB">
            <w:pPr>
              <w:spacing w:after="0" w:line="240" w:lineRule="auto"/>
              <w:jc w:val="both"/>
              <w:rPr>
                <w:rFonts w:hint="eastAsia" w:ascii="Times New Roman" w:hAnsi="Times New Roman" w:eastAsia="仿宋" w:cs="Times New Roman"/>
                <w:color w:val="000000"/>
                <w:sz w:val="28"/>
                <w:szCs w:val="28"/>
                <w:lang w:eastAsia="zh-CN"/>
              </w:rPr>
            </w:pPr>
          </w:p>
          <w:p w14:paraId="5EC7A1AD">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任务1&amp;2 综合指标</w:t>
            </w:r>
          </w:p>
          <w:p w14:paraId="32249D9D">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单页特殊介质预处理与识别平均耗时 ≤ 500毫秒</w:t>
            </w:r>
          </w:p>
          <w:p w14:paraId="7BE128AC">
            <w:pPr>
              <w:spacing w:after="0" w:line="240" w:lineRule="auto"/>
              <w:ind w:firstLine="595"/>
              <w:jc w:val="both"/>
              <w:rPr>
                <w:rFonts w:hint="eastAsia" w:ascii="Times New Roman" w:hAnsi="Times New Roman" w:eastAsia="仿宋" w:cs="Times New Roman"/>
                <w:color w:val="000000"/>
                <w:sz w:val="28"/>
                <w:szCs w:val="28"/>
                <w:lang w:eastAsia="zh-CN"/>
              </w:rPr>
            </w:pPr>
          </w:p>
          <w:p w14:paraId="62FD13A2">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任务3 指标</w:t>
            </w:r>
          </w:p>
          <w:p w14:paraId="24B020DE">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页面类型分类准确率 ≥ 98%</w:t>
            </w:r>
          </w:p>
          <w:p w14:paraId="261E0284">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整本凭证结构解析准确率（无串页、无冗余） ≥ 95%</w:t>
            </w:r>
          </w:p>
          <w:p w14:paraId="786E4D95">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跨页字段关联准确率 ≥ 95%</w:t>
            </w:r>
          </w:p>
          <w:p w14:paraId="3358835B">
            <w:pPr>
              <w:spacing w:after="0" w:line="240" w:lineRule="auto"/>
              <w:ind w:firstLine="595"/>
              <w:jc w:val="both"/>
              <w:rPr>
                <w:rFonts w:hint="eastAsia" w:ascii="Times New Roman" w:hAnsi="Times New Roman" w:eastAsia="仿宋" w:cs="Times New Roman"/>
                <w:color w:val="000000"/>
                <w:sz w:val="28"/>
                <w:szCs w:val="28"/>
                <w:lang w:eastAsia="zh-CN"/>
              </w:rPr>
            </w:pPr>
          </w:p>
          <w:p w14:paraId="13260EBB">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w:t>
            </w:r>
            <w:r>
              <w:rPr>
                <w:rFonts w:hint="eastAsia" w:ascii="Times New Roman" w:hAnsi="Times New Roman" w:eastAsia="仿宋" w:cs="Times New Roman"/>
                <w:color w:val="000000"/>
                <w:sz w:val="28"/>
                <w:szCs w:val="28"/>
                <w:lang w:val="en-US" w:eastAsia="zh-CN"/>
              </w:rPr>
              <w:t>4</w:t>
            </w:r>
            <w:r>
              <w:rPr>
                <w:rFonts w:hint="eastAsia" w:ascii="Times New Roman" w:hAnsi="Times New Roman" w:eastAsia="仿宋" w:cs="Times New Roman"/>
                <w:color w:val="000000"/>
                <w:sz w:val="28"/>
                <w:szCs w:val="28"/>
                <w:lang w:eastAsia="zh-CN"/>
              </w:rPr>
              <w:t xml:space="preserve"> 指标</w:t>
            </w:r>
          </w:p>
          <w:p w14:paraId="12B11723">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跨单据一致性校验自动化覆盖率 ≥ 80%</w:t>
            </w:r>
          </w:p>
          <w:p w14:paraId="680A5415">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校验误报率（将一致判为不一致） ≤ 5%</w:t>
            </w:r>
          </w:p>
          <w:p w14:paraId="6EA07A6C">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校验漏报率（将不一致判为一致） ≤ 3%</w:t>
            </w:r>
          </w:p>
          <w:p w14:paraId="6BD263FA">
            <w:pPr>
              <w:spacing w:after="0" w:line="240" w:lineRule="auto"/>
              <w:jc w:val="both"/>
              <w:rPr>
                <w:rFonts w:hint="eastAsia" w:ascii="Times New Roman" w:hAnsi="Times New Roman" w:eastAsia="仿宋" w:cs="Times New Roman"/>
                <w:color w:val="000000"/>
                <w:sz w:val="28"/>
                <w:szCs w:val="28"/>
                <w:lang w:eastAsia="zh-CN"/>
              </w:rPr>
            </w:pPr>
          </w:p>
          <w:p w14:paraId="792DB26E">
            <w:pPr>
              <w:spacing w:after="0" w:line="240" w:lineRule="auto"/>
              <w:jc w:val="both"/>
              <w:rPr>
                <w:rFonts w:hint="eastAsia" w:ascii="Times New Roman" w:hAnsi="Times New Roman" w:eastAsia="仿宋" w:cs="Times New Roman"/>
                <w:b/>
                <w:bCs/>
                <w:i/>
                <w:iCs/>
                <w:color w:val="000000"/>
                <w:sz w:val="28"/>
                <w:szCs w:val="28"/>
                <w:u w:val="single"/>
                <w:lang w:eastAsia="zh-CN"/>
              </w:rPr>
            </w:pPr>
            <w:r>
              <w:rPr>
                <w:rFonts w:hint="eastAsia" w:ascii="Times New Roman" w:hAnsi="Times New Roman" w:eastAsia="仿宋" w:cs="Times New Roman"/>
                <w:b/>
                <w:bCs/>
                <w:i/>
                <w:iCs/>
                <w:color w:val="000000"/>
                <w:sz w:val="28"/>
                <w:szCs w:val="28"/>
                <w:u w:val="single"/>
                <w:lang w:eastAsia="zh-CN"/>
              </w:rPr>
              <w:t>成果交付形式</w:t>
            </w:r>
          </w:p>
          <w:p w14:paraId="43D730FC">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任务1</w:t>
            </w:r>
            <w:r>
              <w:rPr>
                <w:rFonts w:hint="eastAsia" w:ascii="Times New Roman" w:hAnsi="Times New Roman" w:eastAsia="仿宋" w:cs="Times New Roman"/>
                <w:color w:val="000000"/>
                <w:sz w:val="28"/>
                <w:szCs w:val="28"/>
                <w:lang w:val="en-US" w:eastAsia="zh-CN"/>
              </w:rPr>
              <w:t>-3</w:t>
            </w:r>
            <w:r>
              <w:rPr>
                <w:rFonts w:hint="eastAsia" w:ascii="Times New Roman" w:hAnsi="Times New Roman" w:eastAsia="仿宋" w:cs="Times New Roman"/>
                <w:color w:val="000000"/>
                <w:sz w:val="28"/>
                <w:szCs w:val="28"/>
                <w:lang w:eastAsia="zh-CN"/>
              </w:rPr>
              <w:t>：特殊介质结构化提取模块源码及模型权重，含底纹分离与磨损修复、水印分离、版面解析适配组件；</w:t>
            </w:r>
          </w:p>
          <w:p w14:paraId="55330C4E">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任务3：多附件同一性判定模块源码及模型权重；</w:t>
            </w:r>
          </w:p>
          <w:p w14:paraId="75C74BFB">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任务</w:t>
            </w:r>
            <w:r>
              <w:rPr>
                <w:rFonts w:hint="eastAsia" w:ascii="Times New Roman" w:hAnsi="Times New Roman" w:eastAsia="仿宋" w:cs="Times New Roman"/>
                <w:color w:val="000000"/>
                <w:sz w:val="28"/>
                <w:szCs w:val="28"/>
                <w:lang w:val="en-US" w:eastAsia="zh-CN"/>
              </w:rPr>
              <w:t>4</w:t>
            </w:r>
            <w:r>
              <w:rPr>
                <w:rFonts w:hint="eastAsia" w:ascii="Times New Roman" w:hAnsi="Times New Roman" w:eastAsia="仿宋" w:cs="Times New Roman"/>
                <w:color w:val="000000"/>
                <w:sz w:val="28"/>
                <w:szCs w:val="28"/>
                <w:lang w:eastAsia="zh-CN"/>
              </w:rPr>
              <w:t>：跨单据一致性校验模块源码与配置方案；</w:t>
            </w:r>
          </w:p>
          <w:p w14:paraId="2B1851EC">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集成演示系统（含Web操作界面）；</w:t>
            </w:r>
          </w:p>
          <w:p w14:paraId="3993E549">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完整技术文档（</w:t>
            </w:r>
            <w:r>
              <w:rPr>
                <w:rFonts w:hint="eastAsia" w:ascii="Times New Roman" w:hAnsi="Times New Roman" w:eastAsia="仿宋" w:cs="Times New Roman"/>
                <w:color w:val="000000"/>
                <w:sz w:val="28"/>
                <w:szCs w:val="28"/>
                <w:lang w:val="en-US" w:eastAsia="zh-CN"/>
              </w:rPr>
              <w:t>源码、</w:t>
            </w:r>
            <w:r>
              <w:rPr>
                <w:rFonts w:hint="eastAsia" w:ascii="Times New Roman" w:hAnsi="Times New Roman" w:eastAsia="仿宋" w:cs="Times New Roman"/>
                <w:color w:val="000000"/>
                <w:sz w:val="28"/>
                <w:szCs w:val="28"/>
                <w:lang w:eastAsia="zh-CN"/>
              </w:rPr>
              <w:t>模型设计说明、接口文档、测试报告、部署手册）；</w:t>
            </w:r>
          </w:p>
          <w:p w14:paraId="7FB2B85A">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测试数据集上的评估报告（含各项指标的实际测试结果与对比分析）。</w:t>
            </w:r>
          </w:p>
        </w:tc>
      </w:tr>
      <w:tr w14:paraId="058448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3" w:type="dxa"/>
            <w:gridSpan w:val="5"/>
            <w:tcBorders>
              <w:top w:val="single" w:color="000000" w:sz="4" w:space="0"/>
              <w:left w:val="single" w:color="000000" w:sz="4" w:space="0"/>
              <w:bottom w:val="single" w:color="000000" w:sz="4" w:space="0"/>
              <w:right w:val="single" w:color="000000" w:sz="4" w:space="0"/>
            </w:tcBorders>
            <w:noWrap/>
            <w:vAlign w:val="center"/>
          </w:tcPr>
          <w:p w14:paraId="20BC7FCE">
            <w:pPr>
              <w:spacing w:after="0" w:line="240" w:lineRule="auto"/>
              <w:rPr>
                <w:rFonts w:ascii="Times New Roman" w:hAnsi="Times New Roman" w:eastAsia="仿宋" w:cs="Times New Roman"/>
                <w:color w:val="000000"/>
                <w:sz w:val="28"/>
                <w:szCs w:val="28"/>
                <w:lang w:eastAsia="zh-CN"/>
              </w:rPr>
            </w:pPr>
            <w:r>
              <w:rPr>
                <w:rFonts w:ascii="Times New Roman" w:hAnsi="Times New Roman" w:eastAsia="黑体" w:cs="Times New Roman"/>
                <w:b/>
                <w:bCs/>
                <w:color w:val="000000"/>
                <w:sz w:val="28"/>
                <w:szCs w:val="28"/>
                <w:lang w:eastAsia="zh-CN"/>
              </w:rPr>
              <w:t>数据集描述</w:t>
            </w:r>
            <w:r>
              <w:rPr>
                <w:rFonts w:ascii="Times New Roman" w:hAnsi="Times New Roman" w:eastAsia="仿宋" w:cs="Times New Roman"/>
                <w:color w:val="000000"/>
                <w:sz w:val="28"/>
                <w:szCs w:val="28"/>
                <w:lang w:eastAsia="zh-CN"/>
              </w:rPr>
              <w:t>（</w:t>
            </w:r>
            <w:r>
              <w:rPr>
                <w:rFonts w:hint="eastAsia" w:ascii="Times New Roman" w:hAnsi="Times New Roman" w:eastAsia="仿宋" w:cs="Times New Roman"/>
                <w:color w:val="000000"/>
                <w:sz w:val="28"/>
                <w:szCs w:val="28"/>
                <w:lang w:eastAsia="zh-CN"/>
              </w:rPr>
              <w:t>赛题配套数据集的核心信息，清晰说明数据相关属性及配套要求</w:t>
            </w:r>
            <w:r>
              <w:rPr>
                <w:rFonts w:ascii="Times New Roman" w:hAnsi="Times New Roman" w:eastAsia="仿宋" w:cs="Times New Roman"/>
                <w:color w:val="000000"/>
                <w:sz w:val="28"/>
                <w:szCs w:val="28"/>
                <w:lang w:eastAsia="zh-CN"/>
              </w:rPr>
              <w:t>）</w:t>
            </w:r>
          </w:p>
          <w:p w14:paraId="6A550153">
            <w:pPr>
              <w:spacing w:after="0" w:line="240" w:lineRule="auto"/>
              <w:jc w:val="both"/>
              <w:rPr>
                <w:rFonts w:hint="eastAsia"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本赛题配套提供汽车融资租赁放款审核专用数据集，其中特殊介质凭证子集包含：</w:t>
            </w:r>
          </w:p>
          <w:p w14:paraId="399752DB">
            <w:pPr>
              <w:spacing w:after="0" w:line="240" w:lineRule="auto"/>
              <w:jc w:val="both"/>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约</w:t>
            </w:r>
            <w:r>
              <w:rPr>
                <w:rFonts w:hint="eastAsia" w:ascii="Times New Roman" w:hAnsi="Times New Roman" w:eastAsia="仿宋" w:cs="Times New Roman"/>
                <w:color w:val="000000"/>
                <w:sz w:val="28"/>
                <w:szCs w:val="28"/>
                <w:lang w:val="en-US" w:eastAsia="zh-CN"/>
              </w:rPr>
              <w:t>700</w:t>
            </w:r>
            <w:r>
              <w:rPr>
                <w:rFonts w:hint="eastAsia" w:ascii="Times New Roman" w:hAnsi="Times New Roman" w:eastAsia="仿宋" w:cs="Times New Roman"/>
                <w:color w:val="000000"/>
                <w:sz w:val="28"/>
                <w:szCs w:val="28"/>
                <w:lang w:eastAsia="zh-CN"/>
              </w:rPr>
              <w:t>本脱敏凭证，共计约</w:t>
            </w:r>
            <w:r>
              <w:rPr>
                <w:rFonts w:hint="eastAsia" w:ascii="Times New Roman" w:hAnsi="Times New Roman" w:eastAsia="仿宋" w:cs="Times New Roman"/>
                <w:color w:val="000000"/>
                <w:sz w:val="28"/>
                <w:szCs w:val="28"/>
                <w:lang w:val="en-US" w:eastAsia="zh-CN"/>
              </w:rPr>
              <w:t>3000</w:t>
            </w:r>
            <w:r>
              <w:rPr>
                <w:rFonts w:hint="eastAsia" w:ascii="Times New Roman" w:hAnsi="Times New Roman" w:eastAsia="仿宋" w:cs="Times New Roman"/>
                <w:color w:val="000000"/>
                <w:sz w:val="28"/>
                <w:szCs w:val="28"/>
                <w:lang w:eastAsia="zh-CN"/>
              </w:rPr>
              <w:t>页影像，涵盖打刻字符页、磨损底纹编码页、防伪水印内页、跨页拍照等；成像条件覆盖标准扫描、手机正常光照、弱光、侧光等多种实采场景；</w:t>
            </w:r>
          </w:p>
          <w:p w14:paraId="35D03664">
            <w:pPr>
              <w:spacing w:after="0" w:line="240" w:lineRule="auto"/>
              <w:ind w:firstLine="595"/>
              <w:jc w:val="both"/>
              <w:rPr>
                <w:rFonts w:ascii="Times New Roman" w:hAnsi="Times New Roman" w:eastAsia="仿宋" w:cs="Times New Roman"/>
                <w:color w:val="000000"/>
                <w:sz w:val="28"/>
                <w:szCs w:val="28"/>
                <w:lang w:eastAsia="zh-CN"/>
              </w:rPr>
            </w:pPr>
          </w:p>
        </w:tc>
      </w:tr>
    </w:tbl>
    <w:p w14:paraId="3B37DED2">
      <w:pPr>
        <w:rPr>
          <w:lang w:eastAsia="zh-CN"/>
        </w:rPr>
      </w:pPr>
    </w:p>
    <w:sectPr>
      <w:pgSz w:w="11906" w:h="16838"/>
      <w:pgMar w:top="1134" w:right="850" w:bottom="1134" w:left="1701" w:header="709" w:footer="709"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8E"/>
    <w:rsid w:val="002F4E8E"/>
    <w:rsid w:val="00913D29"/>
    <w:rsid w:val="00FC0FF6"/>
    <w:rsid w:val="0FEA74A6"/>
    <w:rsid w:val="16A35813"/>
    <w:rsid w:val="329E5018"/>
    <w:rsid w:val="3F0041ED"/>
    <w:rsid w:val="543D477F"/>
    <w:rsid w:val="57B15405"/>
    <w:rsid w:val="5A346EB9"/>
    <w:rsid w:val="68197D78"/>
    <w:rsid w:val="69917E31"/>
    <w:rsid w:val="7D5A3A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pacing w:after="200" w:line="276" w:lineRule="auto"/>
      <w:jc w:val="left"/>
    </w:pPr>
    <w:rPr>
      <w:rFonts w:asciiTheme="minorHAnsi" w:hAnsiTheme="minorHAnsi" w:eastAsiaTheme="minorEastAsia" w:cstheme="minorBidi"/>
      <w:kern w:val="0"/>
      <w:sz w:val="22"/>
      <w:szCs w:val="22"/>
      <w:lang w:val="zh-CN" w:eastAsia="en-US"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rPr>
      <w:sz w:val="24"/>
    </w:rPr>
  </w:style>
  <w:style w:type="character" w:styleId="5">
    <w:name w:val="Strong"/>
    <w:basedOn w:val="4"/>
    <w:qFormat/>
    <w:uiPriority w:val="22"/>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3652</Words>
  <Characters>3770</Characters>
  <Lines>2</Lines>
  <Paragraphs>1</Paragraphs>
  <TotalTime>3</TotalTime>
  <ScaleCrop>false</ScaleCrop>
  <LinksUpToDate>false</LinksUpToDate>
  <CharactersWithSpaces>3801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2026-04-17T03:07:00Z</dcterms:created>
  <dc:creator>李昊骅 南京大学</dc:creator>
  <cp:lastModifiedBy>work</cp:lastModifiedBy>
  <dcterms:modified xsi:type="dcterms:W3CDTF">2026-05-12T12:20:41Z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eyJoZGlkIjoiZDBjMTFjYjk0NTY5YmQ1ZjYwNjNlNjYyNDkwZmZmY2UiLCJ1c2VySWQiOiIyMDE1MzQ4NzQifQ==</vt:lpwstr>
  </property>
  <property fmtid="{D5CDD505-2E9C-101B-9397-08002B2CF9AE}" pid="3" name="KSOProductBuildVer">
    <vt:lpwstr>2052-12.1.0.25865</vt:lpwstr>
  </property>
  <property fmtid="{D5CDD505-2E9C-101B-9397-08002B2CF9AE}" pid="4" name="ICV">
    <vt:lpwstr>F45EEA9BD6CA4CD2B6C352C46A2ED8BE_12</vt:lpwstr>
  </property>
</Properties>
</file>