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77559">
      <w:pPr>
        <w:spacing w:after="0" w:line="240" w:lineRule="auto"/>
        <w:jc w:val="center"/>
        <w:rPr>
          <w:rFonts w:hint="eastAsia" w:eastAsia="黑体" w:cs="Times New Roman"/>
          <w:b/>
          <w:bCs/>
          <w:sz w:val="44"/>
          <w:szCs w:val="42"/>
          <w:lang w:eastAsia="zh-CN"/>
        </w:rPr>
      </w:pPr>
    </w:p>
    <w:p w14:paraId="5F6DCEEA">
      <w:pPr>
        <w:spacing w:after="0" w:line="240" w:lineRule="auto"/>
        <w:jc w:val="center"/>
        <w:rPr>
          <w:rFonts w:hint="eastAsia" w:eastAsia="黑体" w:cs="Times New Roman"/>
          <w:b/>
          <w:bCs/>
          <w:sz w:val="44"/>
          <w:szCs w:val="42"/>
          <w:lang w:eastAsia="zh-CN"/>
        </w:rPr>
      </w:pPr>
      <w:r>
        <w:rPr>
          <w:rFonts w:eastAsia="黑体" w:cs="Times New Roman"/>
          <w:b/>
          <w:bCs/>
          <w:sz w:val="44"/>
          <w:szCs w:val="42"/>
          <w:lang w:eastAsia="zh-CN"/>
        </w:rPr>
        <w:t>第五届中国研究生金融科技创新大赛</w:t>
      </w:r>
    </w:p>
    <w:p w14:paraId="12A7E351">
      <w:pPr>
        <w:spacing w:line="600" w:lineRule="exact"/>
        <w:jc w:val="center"/>
        <w:rPr>
          <w:rFonts w:ascii="Times New Roman" w:hAnsi="Times New Roman" w:cs="Times New Roman"/>
          <w:b/>
          <w:bCs/>
          <w:sz w:val="32"/>
          <w:szCs w:val="32"/>
          <w:lang w:eastAsia="zh-CN"/>
        </w:rPr>
      </w:pPr>
      <w:r>
        <w:rPr>
          <w:rFonts w:hint="eastAsia" w:eastAsia="黑体" w:cs="Times New Roman"/>
          <w:b/>
          <w:bCs/>
          <w:sz w:val="44"/>
          <w:szCs w:val="42"/>
          <w:lang w:eastAsia="zh-CN"/>
        </w:rPr>
        <w:t>“</w:t>
      </w:r>
      <w:r>
        <w:rPr>
          <w:rFonts w:eastAsia="黑体" w:cs="Times New Roman"/>
          <w:b/>
          <w:bCs/>
          <w:sz w:val="44"/>
          <w:szCs w:val="42"/>
          <w:lang w:eastAsia="zh-CN"/>
        </w:rPr>
        <w:t>揭榜挂帅</w:t>
      </w:r>
      <w:r>
        <w:rPr>
          <w:rFonts w:hint="eastAsia" w:eastAsia="黑体" w:cs="Times New Roman"/>
          <w:b/>
          <w:bCs/>
          <w:sz w:val="44"/>
          <w:szCs w:val="42"/>
          <w:lang w:eastAsia="zh-CN"/>
        </w:rPr>
        <w:t>”</w:t>
      </w:r>
      <w:r>
        <w:rPr>
          <w:rFonts w:eastAsia="黑体" w:cs="Times New Roman"/>
          <w:b/>
          <w:bCs/>
          <w:sz w:val="44"/>
          <w:szCs w:val="42"/>
          <w:lang w:eastAsia="zh-CN"/>
        </w:rPr>
        <w:t>赛题说明</w:t>
      </w:r>
    </w:p>
    <w:tbl>
      <w:tblPr>
        <w:tblStyle w:val="4"/>
        <w:tblW w:w="100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6"/>
        <w:gridCol w:w="1276"/>
        <w:gridCol w:w="1984"/>
        <w:gridCol w:w="1346"/>
        <w:gridCol w:w="3331"/>
      </w:tblGrid>
      <w:tr w14:paraId="1A5871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4DC85B03">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一、命题单位基本情况</w:t>
            </w:r>
          </w:p>
        </w:tc>
      </w:tr>
      <w:tr w14:paraId="18871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4E18A51C">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单位名称</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22830C99">
            <w:pPr>
              <w:spacing w:after="0" w:line="240" w:lineRule="auto"/>
              <w:jc w:val="center"/>
              <w:rPr>
                <w:rFonts w:ascii="Times New Roman" w:hAnsi="Times New Roman" w:eastAsia="仿宋" w:cs="Times New Roman"/>
                <w:color w:val="000000"/>
                <w:sz w:val="28"/>
                <w:szCs w:val="28"/>
              </w:rPr>
            </w:pPr>
            <w:r>
              <w:rPr>
                <w:rFonts w:hint="eastAsia" w:ascii="Times New Roman" w:hAnsi="Times New Roman" w:eastAsia="仿宋" w:cs="Times New Roman"/>
                <w:color w:val="000000"/>
                <w:sz w:val="28"/>
                <w:szCs w:val="28"/>
                <w:lang w:eastAsia="zh-CN"/>
              </w:rPr>
              <w:t>江苏金融租赁股份有限公司</w:t>
            </w:r>
          </w:p>
        </w:tc>
      </w:tr>
      <w:tr w14:paraId="4DA00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10EB747E">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单位地址</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33E0AED6">
            <w:pPr>
              <w:spacing w:after="0" w:line="240" w:lineRule="auto"/>
              <w:jc w:val="center"/>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江苏省南京市嘉陵江东街99号金融城1号楼</w:t>
            </w:r>
          </w:p>
        </w:tc>
      </w:tr>
      <w:tr w14:paraId="3D44CA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7"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108EC153">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单位简介</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4F9B4DAA">
            <w:pPr>
              <w:spacing w:after="0" w:line="240" w:lineRule="auto"/>
              <w:rPr>
                <w:rFonts w:ascii="Times New Roman" w:hAnsi="Times New Roman" w:eastAsia="仿宋" w:cs="Times New Roman"/>
                <w:color w:val="000000"/>
                <w:sz w:val="28"/>
                <w:szCs w:val="28"/>
                <w:lang w:val="en-US" w:eastAsia="zh-CN"/>
              </w:rPr>
            </w:pPr>
            <w:r>
              <w:rPr>
                <w:rFonts w:ascii="Times New Roman" w:hAnsi="Times New Roman" w:eastAsia="仿宋" w:cs="Times New Roman"/>
                <w:color w:val="000000"/>
                <w:sz w:val="28"/>
                <w:szCs w:val="28"/>
                <w:lang w:val="en-US" w:eastAsia="zh-CN"/>
              </w:rPr>
              <w:t>江苏金融租赁股份有限公司成立于1985年6月，是经国家金融监督管理总局批准从事融资租赁业务的国有控股非银行金融机构，是国内著名的金融租赁公司之一。公司于2018年3月1日挂牌上市（股票代码：600901），是目前国内唯一登陆A股的金融租赁公司。公司主要股东包括江苏交通控股有限公司、南京银行、国际金融公司（IFC）和法国巴黎银行租赁公司（BPLG）等。</w:t>
            </w:r>
          </w:p>
          <w:p w14:paraId="13FF5BA9">
            <w:pPr>
              <w:spacing w:after="0" w:line="240" w:lineRule="auto"/>
              <w:rPr>
                <w:rFonts w:ascii="Times New Roman" w:hAnsi="Times New Roman" w:eastAsia="仿宋" w:cs="Times New Roman"/>
                <w:color w:val="000000"/>
                <w:sz w:val="28"/>
                <w:szCs w:val="28"/>
                <w:lang w:val="en-US" w:eastAsia="zh-CN"/>
              </w:rPr>
            </w:pPr>
            <w:r>
              <w:rPr>
                <w:rFonts w:ascii="Times New Roman" w:hAnsi="Times New Roman" w:eastAsia="仿宋" w:cs="Times New Roman"/>
                <w:color w:val="000000"/>
                <w:sz w:val="28"/>
                <w:szCs w:val="28"/>
                <w:lang w:val="en-US" w:eastAsia="zh-CN"/>
              </w:rPr>
              <w:t>公司聚焦绿色能源、汽车金融、高端装备等10大板块</w:t>
            </w:r>
            <w:r>
              <w:rPr>
                <w:rFonts w:hint="eastAsia" w:ascii="Times New Roman" w:hAnsi="Times New Roman" w:eastAsia="仿宋" w:cs="Times New Roman"/>
                <w:color w:val="000000"/>
                <w:sz w:val="28"/>
                <w:szCs w:val="28"/>
                <w:lang w:val="en-US" w:eastAsia="zh-CN"/>
              </w:rPr>
              <w:t>10</w:t>
            </w:r>
            <w:r>
              <w:rPr>
                <w:rFonts w:ascii="Times New Roman" w:hAnsi="Times New Roman" w:eastAsia="仿宋" w:cs="Times New Roman"/>
                <w:color w:val="000000"/>
                <w:sz w:val="28"/>
                <w:szCs w:val="28"/>
                <w:lang w:val="en-US" w:eastAsia="zh-CN"/>
              </w:rPr>
              <w:t>0多个细分市场，先后为数万家企业和个人提供了专业化、特色化融资租赁服务，累计投放各类设备数量数万台。公司充分发挥多元化股东优势，结合国际、国内租赁实践经验，不断创新服务模式，持续提升核心竞争力，致力于打造国际领先的设备租赁服务商。</w:t>
            </w:r>
          </w:p>
          <w:p w14:paraId="466C2142">
            <w:pPr>
              <w:spacing w:after="0" w:line="240" w:lineRule="auto"/>
              <w:rPr>
                <w:rFonts w:ascii="Times New Roman" w:hAnsi="Times New Roman" w:eastAsia="仿宋" w:cs="Times New Roman"/>
                <w:color w:val="000000"/>
                <w:sz w:val="28"/>
                <w:szCs w:val="28"/>
                <w:lang w:val="en-US" w:eastAsia="zh-CN"/>
              </w:rPr>
            </w:pPr>
          </w:p>
        </w:tc>
      </w:tr>
      <w:tr w14:paraId="335C7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vMerge w:val="restart"/>
            <w:tcBorders>
              <w:top w:val="single" w:color="000000" w:sz="4" w:space="0"/>
              <w:left w:val="single" w:color="000000" w:sz="4" w:space="0"/>
              <w:bottom w:val="single" w:color="000000" w:sz="4" w:space="0"/>
              <w:right w:val="single" w:color="000000" w:sz="4" w:space="0"/>
            </w:tcBorders>
            <w:noWrap/>
            <w:vAlign w:val="center"/>
          </w:tcPr>
          <w:p w14:paraId="13073B59">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联系人</w:t>
            </w: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177C7FC7">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姓名</w:t>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1E3EC2D9">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姜欣荣</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68C5B23B">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职务</w:t>
            </w:r>
          </w:p>
        </w:tc>
        <w:tc>
          <w:tcPr>
            <w:tcW w:w="3331" w:type="dxa"/>
            <w:tcBorders>
              <w:top w:val="single" w:color="000000" w:sz="4" w:space="0"/>
              <w:left w:val="single" w:color="000000" w:sz="4" w:space="0"/>
              <w:bottom w:val="single" w:color="000000" w:sz="4" w:space="0"/>
              <w:right w:val="single" w:color="000000" w:sz="4" w:space="0"/>
            </w:tcBorders>
            <w:noWrap/>
            <w:vAlign w:val="center"/>
          </w:tcPr>
          <w:p w14:paraId="03537281">
            <w:pPr>
              <w:spacing w:after="0" w:line="240" w:lineRule="auto"/>
              <w:jc w:val="center"/>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人工智能实验室主任</w:t>
            </w:r>
          </w:p>
        </w:tc>
      </w:tr>
      <w:tr w14:paraId="0D1B4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vMerge w:val="continue"/>
            <w:tcBorders>
              <w:top w:val="single" w:color="000000" w:sz="4" w:space="0"/>
              <w:left w:val="single" w:color="000000" w:sz="4" w:space="0"/>
              <w:bottom w:val="single" w:color="000000" w:sz="4" w:space="0"/>
              <w:right w:val="single" w:color="000000" w:sz="4" w:space="0"/>
            </w:tcBorders>
            <w:vAlign w:val="center"/>
          </w:tcPr>
          <w:p w14:paraId="7D281EF0">
            <w:pPr>
              <w:spacing w:after="0" w:line="240" w:lineRule="auto"/>
              <w:rPr>
                <w:rFonts w:ascii="Times New Roman" w:hAnsi="Times New Roman" w:eastAsia="黑体" w:cs="Times New Roman"/>
                <w:b/>
                <w:bCs/>
                <w:color w:val="000000"/>
                <w:sz w:val="28"/>
                <w:szCs w:val="28"/>
                <w:lang w:eastAsia="zh-CN"/>
              </w:rPr>
            </w:pP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0737E9D5">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手机</w:t>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0712419C">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18362926611</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626BBE1C">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邮箱</w:t>
            </w:r>
          </w:p>
        </w:tc>
        <w:tc>
          <w:tcPr>
            <w:tcW w:w="3331" w:type="dxa"/>
            <w:tcBorders>
              <w:top w:val="single" w:color="000000" w:sz="4" w:space="0"/>
              <w:left w:val="single" w:color="000000" w:sz="4" w:space="0"/>
              <w:bottom w:val="single" w:color="000000" w:sz="4" w:space="0"/>
              <w:right w:val="single" w:color="000000" w:sz="4" w:space="0"/>
            </w:tcBorders>
            <w:noWrap/>
            <w:vAlign w:val="center"/>
          </w:tcPr>
          <w:p w14:paraId="5A691A1A">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jxr@jsleasing.cn</w:t>
            </w:r>
          </w:p>
        </w:tc>
      </w:tr>
      <w:tr w14:paraId="10F7C3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6991946B">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二、命题信息</w:t>
            </w:r>
          </w:p>
        </w:tc>
      </w:tr>
      <w:tr w14:paraId="0B084B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0C161401">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命题名称</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460A0FAD">
            <w:pPr>
              <w:spacing w:after="0" w:line="240" w:lineRule="auto"/>
              <w:rPr>
                <w:rFonts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面向实时风险管控的金融租赁多模态数据血缘动态追踪智能体</w:t>
            </w:r>
          </w:p>
        </w:tc>
      </w:tr>
      <w:tr w14:paraId="0E461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vMerge w:val="restart"/>
            <w:tcBorders>
              <w:top w:val="single" w:color="000000" w:sz="4" w:space="0"/>
              <w:left w:val="single" w:color="000000" w:sz="4" w:space="0"/>
              <w:bottom w:val="single" w:color="000000" w:sz="4" w:space="0"/>
              <w:right w:val="single" w:color="000000" w:sz="4" w:space="0"/>
            </w:tcBorders>
            <w:noWrap/>
            <w:vAlign w:val="center"/>
          </w:tcPr>
          <w:p w14:paraId="583A8859">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宋体"/>
                <w:b/>
                <w:bCs/>
                <w:color w:val="000000"/>
                <w:sz w:val="28"/>
                <w:szCs w:val="28"/>
                <w:lang w:eastAsia="zh-CN"/>
              </w:rPr>
              <w:t>命题概述</w:t>
            </w:r>
          </w:p>
        </w:tc>
        <w:tc>
          <w:tcPr>
            <w:tcW w:w="7937" w:type="dxa"/>
            <w:gridSpan w:val="4"/>
            <w:vMerge w:val="restart"/>
            <w:tcBorders>
              <w:top w:val="single" w:color="000000" w:sz="4" w:space="0"/>
              <w:left w:val="single" w:color="000000" w:sz="4" w:space="0"/>
              <w:bottom w:val="single" w:color="000000" w:sz="4" w:space="0"/>
              <w:right w:val="single" w:color="000000" w:sz="4" w:space="0"/>
            </w:tcBorders>
            <w:noWrap/>
            <w:vAlign w:val="center"/>
          </w:tcPr>
          <w:p w14:paraId="7E4594CE">
            <w:pPr>
              <w:spacing w:after="0" w:line="240" w:lineRule="auto"/>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金融租赁行业风险具有突发性、传导性强的特点，承租人经营异常、租赁物损毁、逾期违约等风险事件需在分钟级内完成溯源与处置。当前风险管控依赖静态结构化数据，大量非结构化风险信号（尽调报告、巡检记录、舆情信息、法院公告）无法实时关联，且传统数据血缘更新滞后、链路断裂，导致风险预警滞后、传导路径不明、处置决策缺乏数据支撑。 </w:t>
            </w:r>
          </w:p>
          <w:p w14:paraId="59A49AA0">
            <w:pPr>
              <w:spacing w:after="0" w:line="240" w:lineRule="auto"/>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本命题提出"三级</w:t>
            </w:r>
            <w:r>
              <w:rPr>
                <w:rFonts w:hint="eastAsia" w:ascii="Times New Roman" w:hAnsi="Times New Roman" w:eastAsia="仿宋" w:cs="Times New Roman"/>
                <w:color w:val="000000"/>
                <w:sz w:val="28"/>
                <w:szCs w:val="28"/>
                <w:lang w:val="en-US" w:eastAsia="zh-CN"/>
              </w:rPr>
              <w:t>血缘</w:t>
            </w:r>
            <w:r>
              <w:rPr>
                <w:rFonts w:hint="eastAsia" w:ascii="Times New Roman" w:hAnsi="Times New Roman" w:eastAsia="仿宋" w:cs="Times New Roman"/>
                <w:color w:val="000000"/>
                <w:sz w:val="28"/>
                <w:szCs w:val="28"/>
                <w:lang w:eastAsia="zh-CN"/>
              </w:rPr>
              <w:t>逐级构建"方法论：</w:t>
            </w:r>
          </w:p>
          <w:p w14:paraId="19CE2CC2">
            <w:pPr>
              <w:numPr>
                <w:ilvl w:val="0"/>
                <w:numId w:val="1"/>
              </w:numPr>
              <w:spacing w:after="0" w:line="240" w:lineRule="auto"/>
              <w:ind w:left="425" w:leftChars="0" w:hanging="425" w:firstLineChars="0"/>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第一级构建结构化数据字段级/表级技术血缘，面向批量ETL脚本与调度任务时序，自动构建复杂关联图谱；</w:t>
            </w:r>
          </w:p>
          <w:p w14:paraId="2A5E8B58">
            <w:pPr>
              <w:numPr>
                <w:ilvl w:val="0"/>
                <w:numId w:val="1"/>
              </w:numPr>
              <w:spacing w:after="0" w:line="240" w:lineRule="auto"/>
              <w:ind w:left="425" w:leftChars="0" w:hanging="425" w:firstLineChars="0"/>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第二级</w:t>
            </w:r>
            <w:r>
              <w:rPr>
                <w:rFonts w:hint="eastAsia" w:ascii="Times New Roman" w:hAnsi="Times New Roman" w:eastAsia="仿宋" w:cs="Times New Roman"/>
                <w:color w:val="000000"/>
                <w:sz w:val="28"/>
                <w:szCs w:val="28"/>
                <w:lang w:val="en-US" w:eastAsia="zh-CN"/>
              </w:rPr>
              <w:t>构建数据资产血缘，</w:t>
            </w:r>
            <w:r>
              <w:rPr>
                <w:rFonts w:hint="eastAsia" w:ascii="Times New Roman" w:hAnsi="Times New Roman" w:eastAsia="仿宋" w:cs="Times New Roman"/>
                <w:color w:val="000000"/>
                <w:sz w:val="28"/>
                <w:szCs w:val="28"/>
                <w:lang w:eastAsia="zh-CN"/>
              </w:rPr>
              <w:t>将技术血缘升级为数字资产导航地图，融合数据治理体系，实现资产的可视、可管、可审计；</w:t>
            </w:r>
          </w:p>
          <w:p w14:paraId="401C3A98">
            <w:pPr>
              <w:numPr>
                <w:ilvl w:val="0"/>
                <w:numId w:val="1"/>
              </w:numPr>
              <w:spacing w:after="0" w:line="240" w:lineRule="auto"/>
              <w:ind w:left="425" w:leftChars="0" w:hanging="425" w:firstLineChars="0"/>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eastAsia="zh-CN"/>
              </w:rPr>
              <w:t>第三级</w:t>
            </w:r>
            <w:r>
              <w:rPr>
                <w:rFonts w:hint="eastAsia" w:ascii="Times New Roman" w:hAnsi="Times New Roman" w:eastAsia="仿宋" w:cs="Times New Roman"/>
                <w:color w:val="000000"/>
                <w:sz w:val="28"/>
                <w:szCs w:val="28"/>
                <w:lang w:val="en-US" w:eastAsia="zh-CN"/>
              </w:rPr>
              <w:t>构建风险实时血缘，</w:t>
            </w:r>
            <w:r>
              <w:rPr>
                <w:rFonts w:hint="eastAsia" w:ascii="Times New Roman" w:hAnsi="Times New Roman" w:eastAsia="仿宋" w:cs="Times New Roman"/>
                <w:color w:val="000000"/>
                <w:sz w:val="28"/>
                <w:szCs w:val="28"/>
                <w:lang w:eastAsia="zh-CN"/>
              </w:rPr>
              <w:t>引入非结构化风险数据源，构建风控视角的实时血缘与风险传导模型，生成影响范围的实时传染地图</w:t>
            </w:r>
            <w:r>
              <w:rPr>
                <w:rFonts w:hint="eastAsia" w:ascii="Times New Roman" w:hAnsi="Times New Roman" w:eastAsia="仿宋" w:cs="Times New Roman"/>
                <w:color w:val="000000"/>
                <w:sz w:val="28"/>
                <w:szCs w:val="28"/>
                <w:lang w:val="en-US" w:eastAsia="zh-CN"/>
              </w:rPr>
              <w:t>和支撑决策的时空数据快照。</w:t>
            </w:r>
          </w:p>
          <w:p w14:paraId="4A392B7C">
            <w:pPr>
              <w:numPr>
                <w:ilvl w:val="0"/>
                <w:numId w:val="0"/>
              </w:numPr>
              <w:spacing w:after="0" w:line="240" w:lineRule="auto"/>
              <w:ind w:leftChars="0"/>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通过三级</w:t>
            </w:r>
            <w:r>
              <w:rPr>
                <w:rFonts w:hint="eastAsia" w:ascii="Times New Roman" w:hAnsi="Times New Roman" w:eastAsia="仿宋" w:cs="Times New Roman"/>
                <w:color w:val="000000"/>
                <w:sz w:val="28"/>
                <w:szCs w:val="28"/>
                <w:lang w:val="en-US" w:eastAsia="zh-CN"/>
              </w:rPr>
              <w:t>血缘的脉络关系图</w:t>
            </w:r>
            <w:r>
              <w:rPr>
                <w:rFonts w:hint="eastAsia" w:ascii="Times New Roman" w:hAnsi="Times New Roman" w:eastAsia="仿宋" w:cs="Times New Roman"/>
                <w:color w:val="000000"/>
                <w:sz w:val="28"/>
                <w:szCs w:val="28"/>
                <w:lang w:eastAsia="zh-CN"/>
              </w:rPr>
              <w:t>，实现风险信号从产生到全链路传导的秒级追踪、根因定位与影响评估，全面提升金融租赁行业的实时风险管控能力。</w:t>
            </w:r>
          </w:p>
        </w:tc>
      </w:tr>
      <w:tr w14:paraId="7B01AE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316FC50D">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业务场景描述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清晰说明现实业务现状、核心瓶颈及亟需解决的必要性</w:t>
            </w:r>
            <w:r>
              <w:rPr>
                <w:rFonts w:ascii="Times New Roman" w:hAnsi="Times New Roman" w:eastAsia="仿宋" w:cs="Times New Roman"/>
                <w:color w:val="000000"/>
                <w:sz w:val="28"/>
                <w:szCs w:val="28"/>
                <w:lang w:eastAsia="zh-CN"/>
              </w:rPr>
              <w:t>）</w:t>
            </w:r>
          </w:p>
          <w:p w14:paraId="7E9E33E7">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金融租赁风险管控覆盖事前准入、事中监控、事后处置全流程，核心风险数据呈现"双高"特征：</w:t>
            </w:r>
          </w:p>
          <w:p w14:paraId="6FE8D8C3">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一是异构性高，既包含客户信息、还款流水、资产状态等结构化数据，也包含尽调报告、租赁物评估报告、现场巡检照片/视频、法院判决书、舆情资讯等非结构化数据，非结构化数据占比超过60%；</w:t>
            </w:r>
          </w:p>
          <w:p w14:paraId="1F316CC0">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二是时效性高，承租人逾期、租赁物查封、经营异常等风险事件一旦发生，需在1小时内完成全链路溯源并启动处置流程，否则将造成重大资产损失。 </w:t>
            </w:r>
          </w:p>
          <w:p w14:paraId="125ABED3">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当前风险管控与数据血缘治理存在四大核心瓶颈，亟需通过"三级</w:t>
            </w:r>
            <w:r>
              <w:rPr>
                <w:rFonts w:hint="eastAsia" w:ascii="Times New Roman" w:hAnsi="Times New Roman" w:eastAsia="仿宋" w:cs="Times New Roman"/>
                <w:color w:val="000000"/>
                <w:sz w:val="28"/>
                <w:szCs w:val="28"/>
                <w:lang w:val="en-US" w:eastAsia="zh-CN"/>
              </w:rPr>
              <w:t>血缘</w:t>
            </w:r>
            <w:r>
              <w:rPr>
                <w:rFonts w:hint="eastAsia" w:ascii="Times New Roman" w:hAnsi="Times New Roman" w:eastAsia="仿宋" w:cs="Times New Roman"/>
                <w:color w:val="000000"/>
                <w:sz w:val="28"/>
                <w:szCs w:val="28"/>
                <w:lang w:eastAsia="zh-CN"/>
              </w:rPr>
              <w:t>"体系化解决：</w:t>
            </w:r>
          </w:p>
          <w:p w14:paraId="1B4D12DD">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第一级瓶颈：技术血缘缺失，脚本与调度黑盒化。金融租赁数据仓库经过十余年建设，积累了数千张数据表、数万个字段、成百上千个ETL脚本与调度任务。现有血缘依靠人工维护的Excel台账，无法自动解析复杂SQL脚本、存储过程、Python处理逻辑以及调度任务之间的时序依赖关系。当上游表结构变更、脚本逻辑调整或调度任务延迟时，下游影响范围难以快速评估，导致数据故障排查平均耗时4-6小时，严重影响风险报表的时效性与准确性。</w:t>
            </w:r>
          </w:p>
          <w:p w14:paraId="04C2B1F5">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第二级瓶颈：资产地图空白，数据治理无从落地。即便完成了技术血缘的自动构建，这些血缘关系仍停留在"技术字典"层面，未能与业务域、数据责任人、数据质量标准、合规规则等治理要素融合。数据资产如同没有导航地图的城市——业务人员找不到所需数据，数据owner不清楚自己管理的资产被哪些报表依赖，监管审计时无法快速定位数据链路中的责任节点。数据治理工作长期停留在制度层面，缺乏可落地的数字化载体。</w:t>
            </w:r>
          </w:p>
          <w:p w14:paraId="4B0CFE38">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第三级瓶颈：非结构化数据链路断裂，风险传导无法实时推演。现有血缘仅覆盖结构化业务数据，大量核心风险信息存储在非结构化文档中，无法建立从原始风险信号到业务决策、资产状态的血缘关联。传统批量血缘生成方式存在小时级甚至天级延迟，风险事件发生时血缘数据仍停留在历史状态；且现有血缘仅能展示静态数据依赖，无法识别风险在跨系统、跨业务环节的传导路径，也无法评估单一风险事件对上下游资产、客户、报表的影响范围，处置决策缺乏量化依据。 </w:t>
            </w:r>
          </w:p>
          <w:p w14:paraId="4378592B">
            <w:pPr>
              <w:spacing w:after="0" w:line="240" w:lineRule="auto"/>
              <w:ind w:firstLine="560" w:firstLineChars="200"/>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因此，亟需构建面向实时风险管控的多模态数据血缘逐级构建与动态追踪智能体，打通结构化与非结构化数据链路，实现从字段级技术血缘到资产导航地图再到实时风险传导图谱，全面提升金融租赁行业的实时风险管控能力。</w:t>
            </w:r>
          </w:p>
        </w:tc>
      </w:tr>
      <w:tr w14:paraId="6DA29A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0A97C7F8">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技术攻关问题描述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提炼业务瓶颈对应的技术卡点，说明难点及现有方法不足</w:t>
            </w:r>
            <w:r>
              <w:rPr>
                <w:rFonts w:ascii="Times New Roman" w:hAnsi="Times New Roman" w:eastAsia="仿宋" w:cs="Times New Roman"/>
                <w:color w:val="000000"/>
                <w:sz w:val="28"/>
                <w:szCs w:val="28"/>
                <w:lang w:eastAsia="zh-CN"/>
              </w:rPr>
              <w:t>）</w:t>
            </w:r>
          </w:p>
          <w:p w14:paraId="7411F100">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1</w:t>
            </w:r>
            <w:r>
              <w:rPr>
                <w:rFonts w:hint="eastAsia" w:ascii="Times New Roman" w:hAnsi="Times New Roman" w:eastAsia="仿宋" w:cs="Times New Roman"/>
                <w:color w:val="000000"/>
                <w:sz w:val="28"/>
                <w:szCs w:val="28"/>
                <w:lang w:eastAsia="zh-CN"/>
              </w:rPr>
              <w:t>：结构化数据字段级/表级血缘自动构建与复杂关联图谱生成</w:t>
            </w:r>
          </w:p>
          <w:p w14:paraId="6016D47A">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金融租赁数据仓库包含Hive/Spark SQL、存储过程、Python数据处理脚本、Airflow/DolphinScheduler</w:t>
            </w:r>
            <w:r>
              <w:rPr>
                <w:rFonts w:hint="eastAsia" w:ascii="Times New Roman" w:hAnsi="Times New Roman" w:eastAsia="仿宋" w:cs="Times New Roman"/>
                <w:color w:val="000000"/>
                <w:sz w:val="28"/>
                <w:szCs w:val="28"/>
                <w:lang w:val="en-US" w:eastAsia="zh-CN"/>
              </w:rPr>
              <w:t>/ABI</w:t>
            </w:r>
            <w:r>
              <w:rPr>
                <w:rFonts w:hint="eastAsia" w:ascii="Times New Roman" w:hAnsi="Times New Roman" w:eastAsia="仿宋" w:cs="Times New Roman"/>
                <w:color w:val="000000"/>
                <w:sz w:val="28"/>
                <w:szCs w:val="28"/>
                <w:lang w:eastAsia="zh-CN"/>
              </w:rPr>
              <w:t xml:space="preserve">等调度平台定义的复杂ETL链路。现有开源血缘工具（如Apache Atlas、OpenLineage）主要面向简单SQL的表级血缘，存在以下不足： </w:t>
            </w:r>
          </w:p>
          <w:p w14:paraId="2185CE49">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（1）无法解析复杂SQL中的嵌套子查询、CTE（公用表表达式）、窗口函数、UDF调用等高级语法，导致字段级血缘断裂； </w:t>
            </w:r>
          </w:p>
          <w:p w14:paraId="3A4A00F2">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（2）无法识别跨脚本、跨平台的调度依赖关系（如任务A每天2点运行，任务B依赖任务A成功后运行），无法构建时序化的全链路血缘； </w:t>
            </w:r>
          </w:p>
          <w:p w14:paraId="380D25E6">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（3）无法自适应处理不同方言（Oracle、MySQL、Hive SQL、Spark SQL）以及自定义语义描述文件（如JSON格式的任务定义、YAML格式的调度配置），面对新型脚本或调度任务时需要大量人工适配。 </w:t>
            </w:r>
          </w:p>
          <w:p w14:paraId="7502206B">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技术难点在于：如何设计一套统一的血缘解析引擎，既能深度解析</w:t>
            </w:r>
            <w:r>
              <w:rPr>
                <w:rFonts w:hint="eastAsia" w:ascii="Times New Roman" w:hAnsi="Times New Roman" w:eastAsia="仿宋" w:cs="Times New Roman"/>
                <w:color w:val="000000"/>
                <w:sz w:val="28"/>
                <w:szCs w:val="28"/>
                <w:lang w:val="en-US" w:eastAsia="zh-CN"/>
              </w:rPr>
              <w:t>来源于异构数据库的</w:t>
            </w:r>
            <w:r>
              <w:rPr>
                <w:rFonts w:hint="eastAsia" w:ascii="Times New Roman" w:hAnsi="Times New Roman" w:eastAsia="仿宋" w:cs="Times New Roman"/>
                <w:color w:val="000000"/>
                <w:sz w:val="28"/>
                <w:szCs w:val="28"/>
                <w:lang w:eastAsia="zh-CN"/>
              </w:rPr>
              <w:t>复杂SQL的AST（抽象语法树）实现字段级血缘，又能理解调度任务的语义描述文件，自动构建包含"表-字段-脚本-任务-时序"五维度的复杂关联图谱。</w:t>
            </w:r>
          </w:p>
          <w:p w14:paraId="40B24DCE">
            <w:pPr>
              <w:spacing w:after="0" w:line="240" w:lineRule="auto"/>
              <w:ind w:firstLine="560" w:firstLineChars="200"/>
              <w:jc w:val="both"/>
              <w:rPr>
                <w:rFonts w:hint="eastAsia" w:ascii="Times New Roman" w:hAnsi="Times New Roman" w:eastAsia="仿宋" w:cs="Times New Roman"/>
                <w:color w:val="000000"/>
                <w:sz w:val="28"/>
                <w:szCs w:val="28"/>
                <w:lang w:eastAsia="zh-CN"/>
              </w:rPr>
            </w:pPr>
          </w:p>
          <w:p w14:paraId="0FA64781">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2</w:t>
            </w:r>
            <w:r>
              <w:rPr>
                <w:rFonts w:hint="eastAsia" w:ascii="Times New Roman" w:hAnsi="Times New Roman" w:eastAsia="仿宋" w:cs="Times New Roman"/>
                <w:color w:val="000000"/>
                <w:sz w:val="28"/>
                <w:szCs w:val="28"/>
                <w:lang w:eastAsia="zh-CN"/>
              </w:rPr>
              <w:t>：数字资产导航地图的升级与数据治理融合</w:t>
            </w:r>
          </w:p>
          <w:p w14:paraId="68B95F21">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第一级生成的技术血缘是"技术视角的线路图"，而数据治理需要的是"业务视角的导航地图"。现有方法存在以下不足： </w:t>
            </w:r>
          </w:p>
          <w:p w14:paraId="73D235CA">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（1）技术血缘与业务元数据（业务域、数据owner、数据标准、质量规则、敏感等级）是分离的，无法回答"这个字段属于哪个业务域、由谁负责、质量是否达标"； </w:t>
            </w:r>
          </w:p>
          <w:p w14:paraId="3BA8B77B">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（2）缺乏资产级别的搜索、推荐与影响分析能力，业务人员无法通过自然语言或业务语义快速定位所需数据资产； </w:t>
            </w:r>
          </w:p>
          <w:p w14:paraId="0F5A32FC">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（3）无法基于血缘链路自动生成数据治理的优先级建议（如哪些表是高风险核心资产、哪些链路存在单点故障、哪些数据存在冗余）。 </w:t>
            </w:r>
          </w:p>
          <w:p w14:paraId="5F38A5CD">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技术难点在于：如何设计一套资产语义建模与融合框架，将技术血缘自动映射为业务资产图谱，并构建支持自然语言检索、影响分析、治理建议生成的数字资产导航系统，实现数据治理从"制度驱动"到"系统驱动"的转型。</w:t>
            </w:r>
          </w:p>
          <w:p w14:paraId="691A5480">
            <w:pPr>
              <w:spacing w:after="0" w:line="240" w:lineRule="auto"/>
              <w:ind w:firstLine="560" w:firstLineChars="200"/>
              <w:jc w:val="both"/>
              <w:rPr>
                <w:rFonts w:hint="eastAsia" w:ascii="Times New Roman" w:hAnsi="Times New Roman" w:eastAsia="仿宋" w:cs="Times New Roman"/>
                <w:color w:val="000000"/>
                <w:sz w:val="28"/>
                <w:szCs w:val="28"/>
                <w:lang w:eastAsia="zh-CN"/>
              </w:rPr>
            </w:pPr>
          </w:p>
          <w:p w14:paraId="0170C02E">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3</w:t>
            </w:r>
            <w:r>
              <w:rPr>
                <w:rFonts w:hint="eastAsia" w:ascii="Times New Roman" w:hAnsi="Times New Roman" w:eastAsia="仿宋" w:cs="Times New Roman"/>
                <w:color w:val="000000"/>
                <w:sz w:val="28"/>
                <w:szCs w:val="28"/>
                <w:lang w:eastAsia="zh-CN"/>
              </w:rPr>
              <w:t>：多模态非结构化数据实时血缘构建与风险传导模型</w:t>
            </w:r>
          </w:p>
          <w:p w14:paraId="7C3C8549">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金融租赁风险数据类型多样，包括文本、图像、表格等，且实时产生。现有方法无法实现非结构化风险数据的流式抽取，也无法动态建立非结构化数据与结构化数据之间的血缘关联，导致风险信号无法实时融入数据血缘链路。具体不足包括： </w:t>
            </w:r>
          </w:p>
          <w:p w14:paraId="376E5F6F">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（1）无法从尽调报告、法院判决书、舆情资讯等非结构化文本中实时抽取风险实体（企业名称、人名、资产编号、法院案号等），并与结构化数据表中的字段进行语义匹配； </w:t>
            </w:r>
          </w:p>
          <w:p w14:paraId="5842B296">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（2）风险事件会触发数据链路的快速变更，现有批量血缘更新方式无法响应事件级别的变更，且缺乏细粒度的版本管理机制，无法回溯风险事件发生前后的数据链路变化； </w:t>
            </w:r>
          </w:p>
          <w:p w14:paraId="1C0EBECC">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（3）现有血缘仅能展示静态数据依赖，无法结合业务规则与风险模型，自动推演风险在数据链路中的传导路径，也无法量化评估风险事件对下游业务与资产的影响程度； </w:t>
            </w:r>
          </w:p>
          <w:p w14:paraId="460580B6">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（4）缺乏风险维度的血缘可视化与审计追溯能力，无法满足监管合规要求。 技术难点在于：如何构建融合多模态数据实时处理、事件驱动动态血缘更新、风险传导路径智能推演、影响评估与审计追溯于一体的实时血缘智能体。</w:t>
            </w:r>
          </w:p>
        </w:tc>
      </w:tr>
      <w:tr w14:paraId="460FF2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1206C934">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攻关任务描述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针对每一个技术攻关问题，明确需完成的具体任务及成果形式</w:t>
            </w:r>
            <w:r>
              <w:rPr>
                <w:rFonts w:ascii="Times New Roman" w:hAnsi="Times New Roman" w:eastAsia="仿宋" w:cs="Times New Roman"/>
                <w:color w:val="000000"/>
                <w:sz w:val="28"/>
                <w:szCs w:val="28"/>
                <w:lang w:eastAsia="zh-CN"/>
              </w:rPr>
              <w:t>）</w:t>
            </w:r>
          </w:p>
          <w:p w14:paraId="69EBB74A">
            <w:pPr>
              <w:spacing w:after="0" w:line="240" w:lineRule="auto"/>
              <w:ind w:firstLine="562" w:firstLineChars="200"/>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任务 1：结构化数据字段级/表级血缘自动构建与复杂关联图谱生成模块</w:t>
            </w:r>
          </w:p>
          <w:p w14:paraId="55ABDA18">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（1）多方言复杂SQL解析引擎：设计支持Hive SQL、Spark SQL、Oracle PL/SQL、MySQL等多种方言的SQL解析器，基于AST（抽象语法树）深度分析，实现字段级血缘提取（精确到SELECT、JOIN、WHERE、GROUP BY等子句中的字段映射关系），支持嵌套子查询、CTE、窗口函数、UDF等复杂语法，准确率≥95%。 </w:t>
            </w:r>
          </w:p>
          <w:p w14:paraId="4AC6C1A9">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2）调度任务语义理解与全链路时序构建：设计支持Airflow、DolphinScheduler等主流调度平台的任务定义文件（JSON/YAML/Python）解析器，自动识别任务间的依赖关系（如trigger_rule、upstream_task等语义），将"表-字段"血缘与"脚本-任务-时序"血缘融合，构建五维复杂关联图谱。 </w:t>
            </w:r>
          </w:p>
          <w:p w14:paraId="34EE740E">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（3）自适应血缘扩展框架：设计插件化架构，使系统能够自适应处理新型ETL脚本（如Python pandas处理逻辑、Flink流处理SQL）和自定义语义描述文件，无需修改核心代码即可扩展解析能力，并提供血缘校验与冲突解决机制。 </w:t>
            </w:r>
          </w:p>
          <w:p w14:paraId="70013D6E">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4）血缘图谱可视化与交互：设计支持多层级（库→表→字段→脚本→任务）下钻、搜索、高亮的血缘图谱可视化界面，支持影响分析（正向：某字段影响哪些下游表；反向：某表依赖哪些上游字段）与变更预警。</w:t>
            </w:r>
          </w:p>
          <w:p w14:paraId="0ABCC35E">
            <w:pPr>
              <w:spacing w:after="0" w:line="240" w:lineRule="auto"/>
              <w:ind w:firstLine="562"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b/>
                <w:bCs/>
                <w:color w:val="000000"/>
                <w:sz w:val="28"/>
                <w:szCs w:val="28"/>
                <w:lang w:eastAsia="zh-CN"/>
              </w:rPr>
              <w:t>任务</w:t>
            </w:r>
            <w:r>
              <w:rPr>
                <w:rFonts w:hint="eastAsia" w:ascii="Times New Roman" w:hAnsi="Times New Roman" w:eastAsia="仿宋" w:cs="Times New Roman"/>
                <w:b/>
                <w:bCs/>
                <w:color w:val="000000"/>
                <w:sz w:val="28"/>
                <w:szCs w:val="28"/>
                <w:lang w:val="en-US" w:eastAsia="zh-CN"/>
              </w:rPr>
              <w:t>2</w:t>
            </w:r>
            <w:r>
              <w:rPr>
                <w:rFonts w:hint="eastAsia" w:ascii="Times New Roman" w:hAnsi="Times New Roman" w:eastAsia="仿宋" w:cs="Times New Roman"/>
                <w:b/>
                <w:bCs/>
                <w:color w:val="000000"/>
                <w:sz w:val="28"/>
                <w:szCs w:val="28"/>
                <w:lang w:eastAsia="zh-CN"/>
              </w:rPr>
              <w:t>：数字资产导航地图与数据治理融合模块</w:t>
            </w:r>
          </w:p>
          <w:p w14:paraId="02B4078A">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1）业务语义建模与资产融合：设计业务域-数据主题-数据实体-数据属性四级资产目录体系，将第一级生成的技术血缘（表、字段）自动映射到资产目录，并支持人工标注与校验，建立技术元数据与业务元数据的关联桥梁。 </w:t>
            </w:r>
          </w:p>
          <w:p w14:paraId="25361497">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2）资产导航系统：构建支持自然语言检索（如"查找所有涉及新能源车辆抵押的逾期客户表"）、相似资产推荐、资产全景画像（血缘链路、质量评分、使用热度、责任人、敏感等级）的数字资产导航平台，让业务人员能够像使用地图APP一样快速找到所需数据资产。</w:t>
            </w:r>
          </w:p>
          <w:p w14:paraId="52AB0E41">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3）治理智能体：基于血缘图谱自动识别数据治理痛点，如：识别无下游使用的"僵尸表"建议下线、识别被超过50个下游依赖的"核心表"建议重点保障、识别链路深度超过5层的"长链路"建议优化、识别缺失数据owner的孤儿资产建议确权。生成可执行的数据治理任务清单并跟踪闭环。 </w:t>
            </w:r>
          </w:p>
          <w:p w14:paraId="5D991E1E">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（4）合规审计支撑：基于血缘链路自动生成数据资产清单、数据流转报告、敏感数据分布图，支持监管要求的"数据血缘可追溯、数据权责可界定"的合规审计。</w:t>
            </w:r>
          </w:p>
          <w:p w14:paraId="0C0D841F">
            <w:pPr>
              <w:spacing w:after="0" w:line="240" w:lineRule="auto"/>
              <w:ind w:firstLine="562" w:firstLineChars="200"/>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任务</w:t>
            </w:r>
            <w:r>
              <w:rPr>
                <w:rFonts w:hint="eastAsia" w:ascii="Times New Roman" w:hAnsi="Times New Roman" w:eastAsia="仿宋" w:cs="Times New Roman"/>
                <w:b/>
                <w:bCs/>
                <w:color w:val="000000"/>
                <w:sz w:val="28"/>
                <w:szCs w:val="28"/>
                <w:lang w:val="en-US" w:eastAsia="zh-CN"/>
              </w:rPr>
              <w:t>3</w:t>
            </w:r>
            <w:r>
              <w:rPr>
                <w:rFonts w:hint="eastAsia" w:ascii="Times New Roman" w:hAnsi="Times New Roman" w:eastAsia="仿宋" w:cs="Times New Roman"/>
                <w:b/>
                <w:bCs/>
                <w:color w:val="000000"/>
                <w:sz w:val="28"/>
                <w:szCs w:val="28"/>
                <w:lang w:eastAsia="zh-CN"/>
              </w:rPr>
              <w:t>：多模态非结构化数据实时血缘与风险传导模块</w:t>
            </w:r>
          </w:p>
          <w:p w14:paraId="3DD30C56">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1）流式多模态风险数据处理引擎：设计支持文本、图像、表格等多模态数据的流式抽取框架，实现非结构化风险数据的实时解析与结构化转换（如从PDF尽调报告中提取企业财务指标、从法院公告中提取查封资产清单、从巡检照片中识别设备状态），延迟控制在秒级。 </w:t>
            </w:r>
          </w:p>
          <w:p w14:paraId="47CD9615">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2）动态语义关联与实时血缘映射：构建金融租赁风险领域知识图谱，利用大语言模型实现非结构化风险实体与结构化数据表字段的实时语义匹配，自动建立跨模态血缘关系；对抽取的风险实体自动标注风险标签，并将标签与对应的血缘节点绑定，实现风险信号在血缘链路中的实时标记。 </w:t>
            </w:r>
          </w:p>
          <w:p w14:paraId="688F45D3">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3）事件驱动的动态血缘增量更新：设计基于规则与机器学习的风险事件感知引擎，实时捕获数据变更、系统告警、外部风险信号等事件，自动触发血缘更新；优化增量血缘计算逻辑，仅对风险事件影响的局部数据链路进行更新，将血缘更新延迟控制在1分钟以内；建立基于时间戳与事件ID的血缘版本控制系统，支持风险事件发生前后任意时间点的血缘链路回溯与对比。 </w:t>
            </w:r>
          </w:p>
          <w:p w14:paraId="24297779">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4）风险传导路径智能推演与影响评估：结合金融租赁业务规则与历史风险案例，构建风险传导规则库；利用图神经网络技术，基于实时血缘链路与风险传导规则，自动推演风险事件的传导路径，识别关键风险节点；量化评估风险事件对下游客户、资产、报表、监管报送的影响程度，生成风险影响评估报告。 </w:t>
            </w:r>
          </w:p>
          <w:p w14:paraId="500E0CDA">
            <w:pPr>
              <w:spacing w:after="0" w:line="240" w:lineRule="auto"/>
              <w:ind w:firstLine="560" w:firstLineChars="200"/>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5）风险导向的多模态血缘可视化与审计：设计支持风险标签筛选、传导路径高亮、节点详情查看的多层级血缘可视化界面；根据监管要求，自动生成风险事件的完整审计证据链，包含原始数据、处理过程、血缘链路、处置记录；基于血缘链路对关键风险节点进行实时监控与多级告警。</w:t>
            </w:r>
          </w:p>
        </w:tc>
      </w:tr>
      <w:tr w14:paraId="3C325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6CD989AD">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现有基础</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命题单位针对技术攻关难点和攻关任务，已开展的研究工作或验证尝试及效果</w:t>
            </w:r>
            <w:r>
              <w:rPr>
                <w:rFonts w:ascii="Times New Roman" w:hAnsi="Times New Roman" w:eastAsia="仿宋" w:cs="Times New Roman"/>
                <w:color w:val="000000"/>
                <w:sz w:val="28"/>
                <w:szCs w:val="28"/>
                <w:lang w:eastAsia="zh-CN"/>
              </w:rPr>
              <w:t>）</w:t>
            </w:r>
          </w:p>
          <w:p w14:paraId="7AD38181">
            <w:pPr>
              <w:spacing w:after="0" w:line="240" w:lineRule="auto"/>
              <w:ind w:firstLine="560" w:firstLineChars="200"/>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 xml:space="preserve">1. 技术基础：已搭建基础数据仓库与实时风控引擎，完成部分核心结构化数据链路的人工血缘梳理，具备非结构化文档信息抽取的初步能力。已积累数百个典型ETL脚本与调度任务定义文件，可作为第一级血缘解析的处理对象。 </w:t>
            </w:r>
          </w:p>
          <w:p w14:paraId="329DB6D5">
            <w:pPr>
              <w:spacing w:after="0" w:line="240" w:lineRule="auto"/>
              <w:ind w:firstLine="560" w:firstLineChars="200"/>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2. 业务基础：拥有10年以上金融租赁风控经验的专家团队，可提供风险规则指导、数据标注方法论</w:t>
            </w:r>
            <w:r>
              <w:rPr>
                <w:rFonts w:hint="default" w:ascii="Times New Roman" w:hAnsi="Times New Roman" w:eastAsia="仿宋" w:cs="Times New Roman"/>
                <w:color w:val="000000"/>
                <w:sz w:val="28"/>
                <w:szCs w:val="28"/>
                <w:lang w:val="en-US" w:eastAsia="zh-CN"/>
              </w:rPr>
              <w:t>与模型验证支持；已建立较为完善的客户准入、租后管理、资产处置等业务流程文档体系，可作为第三级非结构化数据处理的业务知识</w:t>
            </w:r>
            <w:r>
              <w:rPr>
                <w:rFonts w:hint="eastAsia" w:ascii="Times New Roman" w:hAnsi="Times New Roman" w:eastAsia="仿宋" w:cs="Times New Roman"/>
                <w:color w:val="000000"/>
                <w:sz w:val="28"/>
                <w:szCs w:val="28"/>
                <w:lang w:val="en-US" w:eastAsia="zh-CN"/>
              </w:rPr>
              <w:t>的指导时</w:t>
            </w:r>
            <w:r>
              <w:rPr>
                <w:rFonts w:hint="default" w:ascii="Times New Roman" w:hAnsi="Times New Roman" w:eastAsia="仿宋" w:cs="Times New Roman"/>
                <w:color w:val="000000"/>
                <w:sz w:val="28"/>
                <w:szCs w:val="28"/>
                <w:lang w:val="en-US" w:eastAsia="zh-CN"/>
              </w:rPr>
              <w:t xml:space="preserve">输入。 </w:t>
            </w:r>
          </w:p>
          <w:p w14:paraId="437D6256">
            <w:pPr>
              <w:spacing w:after="0" w:line="240" w:lineRule="auto"/>
              <w:ind w:firstLine="560" w:firstLineChars="200"/>
              <w:jc w:val="both"/>
              <w:rPr>
                <w:rFonts w:ascii="Times New Roman" w:hAnsi="Times New Roman" w:eastAsia="仿宋" w:cs="Times New Roman"/>
                <w:color w:val="000000"/>
                <w:sz w:val="28"/>
                <w:szCs w:val="28"/>
                <w:lang w:eastAsia="zh-CN"/>
              </w:rPr>
            </w:pPr>
            <w:r>
              <w:rPr>
                <w:rFonts w:hint="default" w:ascii="Times New Roman" w:hAnsi="Times New Roman" w:eastAsia="仿宋" w:cs="Times New Roman"/>
                <w:color w:val="000000"/>
                <w:sz w:val="28"/>
                <w:szCs w:val="28"/>
                <w:lang w:val="en-US" w:eastAsia="zh-CN"/>
              </w:rPr>
              <w:t>3. 数据基础：已整理部分核心业务表的物理原型与建表语句，可提供脱敏后的样本数据用于血缘解析验证；已积累尽调报告、法院公告、舆情资讯等非结构化文档的模板与结构样例，可作为多模态抽取的基准数据集。</w:t>
            </w:r>
          </w:p>
        </w:tc>
      </w:tr>
      <w:tr w14:paraId="44BC55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42652798">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任务目标</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技术攻关的总体目标、量化技术指标及具体成果交付形式</w:t>
            </w:r>
            <w:r>
              <w:rPr>
                <w:rFonts w:ascii="Times New Roman" w:hAnsi="Times New Roman" w:eastAsia="仿宋" w:cs="Times New Roman"/>
                <w:color w:val="000000"/>
                <w:sz w:val="28"/>
                <w:szCs w:val="28"/>
                <w:lang w:eastAsia="zh-CN"/>
              </w:rPr>
              <w:t>）</w:t>
            </w:r>
          </w:p>
          <w:p w14:paraId="1B70A1BA">
            <w:pPr>
              <w:spacing w:after="0" w:line="240" w:lineRule="auto"/>
              <w:jc w:val="both"/>
              <w:rPr>
                <w:rFonts w:ascii="Times New Roman" w:hAnsi="Times New Roman" w:eastAsia="仿宋" w:cs="Times New Roman"/>
                <w:b/>
                <w:bCs/>
                <w:i/>
                <w:iCs/>
                <w:color w:val="000000"/>
                <w:sz w:val="28"/>
                <w:szCs w:val="28"/>
                <w:u w:val="single"/>
                <w:lang w:val="en-US" w:eastAsia="zh-CN"/>
              </w:rPr>
            </w:pPr>
            <w:r>
              <w:rPr>
                <w:rFonts w:hint="eastAsia" w:ascii="Times New Roman" w:hAnsi="Times New Roman" w:eastAsia="仿宋" w:cs="Times New Roman"/>
                <w:b/>
                <w:bCs/>
                <w:i/>
                <w:iCs/>
                <w:color w:val="000000"/>
                <w:sz w:val="28"/>
                <w:szCs w:val="28"/>
                <w:u w:val="single"/>
                <w:lang w:val="en-US" w:eastAsia="zh-CN"/>
              </w:rPr>
              <w:t>总体目标</w:t>
            </w:r>
          </w:p>
          <w:p w14:paraId="4AF90A0D">
            <w:pPr>
              <w:spacing w:after="0" w:line="240" w:lineRule="auto"/>
              <w:ind w:firstLine="595"/>
              <w:jc w:val="both"/>
              <w:rPr>
                <w:rFonts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构建一套集"字段级技术血缘自动构建→数字资产导航地图→实时风险传导图谱"三级跃迁于一体的金融租赁多模态数据血缘动态追踪智能体，将风险溯源时间从4-6小时缩短至5分钟以内，风险预警准确率提升至90%以上，全面支撑金融租赁公司的实时风险管控、数据治理与合规审计。</w:t>
            </w:r>
          </w:p>
          <w:p w14:paraId="532DEB0B">
            <w:pPr>
              <w:spacing w:after="0" w:line="240" w:lineRule="auto"/>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b/>
                <w:bCs/>
                <w:i/>
                <w:iCs/>
                <w:color w:val="000000"/>
                <w:sz w:val="28"/>
                <w:szCs w:val="28"/>
                <w:u w:val="single"/>
                <w:lang w:eastAsia="zh-CN"/>
              </w:rPr>
              <w:t>技术指标（按任务分列）</w:t>
            </w:r>
          </w:p>
          <w:p w14:paraId="270A79B3">
            <w:pPr>
              <w:spacing w:after="0" w:line="240" w:lineRule="auto"/>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第一级指标：技术血缘构建</w:t>
            </w:r>
          </w:p>
          <w:p w14:paraId="4C2F2820">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复杂SQL字段级血缘解析准确率 ≥ 95%</w:t>
            </w:r>
          </w:p>
          <w:p w14:paraId="6FAE8220">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跨脚本/调度任务时序依赖识别准确率 ≥ 90%</w:t>
            </w:r>
          </w:p>
          <w:p w14:paraId="2DE51F80">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自适应扩展新型脚本/任务的配置化接入时间 ≤ 30分钟</w:t>
            </w:r>
          </w:p>
          <w:p w14:paraId="4A907AA3">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万级表规模下全库血缘扫描完成时间 ≤ 10分钟</w:t>
            </w:r>
          </w:p>
          <w:p w14:paraId="452348F2">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血缘图谱可视化界面响应时间 ≤ 2秒</w:t>
            </w:r>
          </w:p>
          <w:p w14:paraId="10553F09">
            <w:pPr>
              <w:spacing w:after="0" w:line="240" w:lineRule="auto"/>
              <w:jc w:val="both"/>
              <w:rPr>
                <w:rFonts w:hint="eastAsia" w:ascii="Times New Roman" w:hAnsi="Times New Roman" w:eastAsia="仿宋" w:cs="Times New Roman"/>
                <w:color w:val="000000"/>
                <w:sz w:val="28"/>
                <w:szCs w:val="28"/>
                <w:lang w:eastAsia="zh-CN"/>
              </w:rPr>
            </w:pPr>
          </w:p>
          <w:p w14:paraId="7B2D5252">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b/>
                <w:bCs/>
                <w:color w:val="000000"/>
                <w:sz w:val="28"/>
                <w:szCs w:val="28"/>
                <w:lang w:eastAsia="zh-CN"/>
              </w:rPr>
              <w:t>第二级指标：资产导航与治理</w:t>
            </w:r>
          </w:p>
          <w:p w14:paraId="38B485EC">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技术元数据到业务资产映射覆盖率 ≥ 85%</w:t>
            </w:r>
          </w:p>
          <w:p w14:paraId="6AAE0D1E">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自然语言资产检索准确率 ≥ 80%</w:t>
            </w:r>
          </w:p>
          <w:p w14:paraId="5CD05E86">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数据治理痛点自动识别准确率 ≥ 85%</w:t>
            </w:r>
          </w:p>
          <w:p w14:paraId="5617680E">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资产影响分析（变更传播范围）准确率 ≥ 90%</w:t>
            </w:r>
          </w:p>
          <w:p w14:paraId="50AC57EF">
            <w:pPr>
              <w:spacing w:after="0" w:line="240" w:lineRule="auto"/>
              <w:jc w:val="both"/>
              <w:rPr>
                <w:rFonts w:hint="eastAsia" w:ascii="Times New Roman" w:hAnsi="Times New Roman" w:eastAsia="仿宋" w:cs="Times New Roman"/>
                <w:color w:val="000000"/>
                <w:sz w:val="28"/>
                <w:szCs w:val="28"/>
                <w:lang w:eastAsia="zh-CN"/>
              </w:rPr>
            </w:pPr>
          </w:p>
          <w:p w14:paraId="355CE142">
            <w:pPr>
              <w:spacing w:after="0" w:line="240" w:lineRule="auto"/>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第三级指标：实时风险血缘</w:t>
            </w:r>
          </w:p>
          <w:p w14:paraId="1677909D">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非结构化风险文档核心信息抽取准确率 ≥ 92%</w:t>
            </w:r>
          </w:p>
          <w:p w14:paraId="6473269A">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跨模态血缘关联准确率 ≥ 88%</w:t>
            </w:r>
          </w:p>
          <w:p w14:paraId="20E85390">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多模态数据流式处理延迟 ≤ 3秒</w:t>
            </w:r>
          </w:p>
          <w:p w14:paraId="5413941F">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风险事件触发的血缘更新延迟 ≤ 1分钟</w:t>
            </w:r>
          </w:p>
          <w:p w14:paraId="1F926BB9">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增量血缘计算准确率 ≥ 99%</w:t>
            </w:r>
          </w:p>
          <w:p w14:paraId="23023E18">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血缘版本回溯准确率 ≥ 100%</w:t>
            </w:r>
          </w:p>
          <w:p w14:paraId="60CA6C2F">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跨系统元数据同步延迟 ≤ 10秒</w:t>
            </w:r>
          </w:p>
          <w:p w14:paraId="7BE247E0">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跨系统隐性血缘识别准确率 ≥ 85%</w:t>
            </w:r>
          </w:p>
          <w:p w14:paraId="467D8F79">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实时数据一致性校验准确率 ≥ 98%</w:t>
            </w:r>
          </w:p>
          <w:p w14:paraId="2A53F1D7">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风险传导路径识别准确率 ≥ 90%</w:t>
            </w:r>
          </w:p>
          <w:p w14:paraId="3D2DDE09">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风险影响范围评估准确率 ≥ 87%</w:t>
            </w:r>
          </w:p>
          <w:p w14:paraId="3C6CFA13">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风险根因定位准确率 ≥ 93%</w:t>
            </w:r>
          </w:p>
          <w:p w14:paraId="41E210FA">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风险审计证据链生成时间 ≤ 1分钟</w:t>
            </w:r>
          </w:p>
          <w:p w14:paraId="78574163">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关键风险节点监控覆盖率 ≥ 100%</w:t>
            </w:r>
          </w:p>
          <w:p w14:paraId="4208252A">
            <w:pPr>
              <w:spacing w:after="0" w:line="240" w:lineRule="auto"/>
              <w:jc w:val="both"/>
              <w:rPr>
                <w:rFonts w:ascii="Times New Roman" w:hAnsi="Times New Roman" w:eastAsia="仿宋" w:cs="Times New Roman"/>
                <w:color w:val="000000"/>
                <w:sz w:val="28"/>
                <w:szCs w:val="28"/>
                <w:lang w:eastAsia="zh-CN"/>
              </w:rPr>
            </w:pPr>
          </w:p>
          <w:p w14:paraId="7EC3D529">
            <w:pPr>
              <w:spacing w:after="0" w:line="240" w:lineRule="auto"/>
              <w:jc w:val="both"/>
              <w:rPr>
                <w:rFonts w:ascii="Times New Roman" w:hAnsi="Times New Roman" w:eastAsia="仿宋" w:cs="Times New Roman"/>
                <w:color w:val="000000"/>
                <w:sz w:val="28"/>
                <w:szCs w:val="28"/>
                <w:lang w:eastAsia="zh-CN"/>
              </w:rPr>
            </w:pPr>
          </w:p>
          <w:p w14:paraId="3A028FCB">
            <w:pPr>
              <w:spacing w:after="0" w:line="240" w:lineRule="auto"/>
              <w:jc w:val="both"/>
              <w:rPr>
                <w:rFonts w:ascii="Times New Roman" w:hAnsi="Times New Roman" w:eastAsia="仿宋" w:cs="Times New Roman"/>
                <w:color w:val="000000"/>
                <w:sz w:val="28"/>
                <w:szCs w:val="28"/>
                <w:lang w:eastAsia="zh-CN"/>
              </w:rPr>
            </w:pPr>
          </w:p>
          <w:p w14:paraId="4D868EAE">
            <w:pPr>
              <w:spacing w:after="0" w:line="240" w:lineRule="auto"/>
              <w:jc w:val="both"/>
              <w:rPr>
                <w:rFonts w:ascii="Times New Roman" w:hAnsi="Times New Roman" w:eastAsia="仿宋" w:cs="Times New Roman"/>
                <w:b/>
                <w:bCs/>
                <w:i/>
                <w:iCs/>
                <w:color w:val="000000"/>
                <w:sz w:val="28"/>
                <w:szCs w:val="28"/>
                <w:u w:val="single"/>
                <w:lang w:eastAsia="zh-CN"/>
              </w:rPr>
            </w:pPr>
            <w:r>
              <w:rPr>
                <w:rFonts w:hint="eastAsia" w:ascii="Times New Roman" w:hAnsi="Times New Roman" w:eastAsia="仿宋" w:cs="Times New Roman"/>
                <w:b/>
                <w:bCs/>
                <w:i/>
                <w:iCs/>
                <w:color w:val="000000"/>
                <w:sz w:val="28"/>
                <w:szCs w:val="28"/>
                <w:u w:val="single"/>
                <w:lang w:eastAsia="zh-CN"/>
              </w:rPr>
              <w:t>成果交付形式</w:t>
            </w:r>
          </w:p>
          <w:p w14:paraId="62870922">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1. 多模态数据血缘动态追踪智能体核心系统源码及模型权重（含多模态实时抽取、事件驱动更新、跨系统关联、风险推演、可视化组件），要求系统不仅能处理给出的demo脚本，还能自适应更多的复杂ETL脚本和调度时序（任务定义JSON或语义描述文件），以及由语义描述的各种非结构化文件、信息与资讯； </w:t>
            </w:r>
          </w:p>
          <w:p w14:paraId="44429B2B">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2. 需求规格说明书（SRS）：包含系统总体架构、功能需求（三级血缘构建、资产导航、风险传导）、非功能需求（性能、安全、扩展性）、接口定义、数据模型、用例描述等，作为系统交付与后续迭代的标准文档； </w:t>
            </w:r>
          </w:p>
          <w:p w14:paraId="616A5A39">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3. 金融租赁风险领域知识图谱及标注数据集； </w:t>
            </w:r>
          </w:p>
          <w:p w14:paraId="3E653F0D">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4. 集成演示系统（含Web操作界面，支持血缘图谱可视化、资产导航搜索、风险溯源、传导路径查看、影响评估、审计报告生成等功能）； </w:t>
            </w:r>
          </w:p>
          <w:p w14:paraId="63B4FB1F">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5. 完整技术文档（源码说明、模型设计文档、接口文档、测试报告、部署手册）；</w:t>
            </w:r>
          </w:p>
          <w:p w14:paraId="65E2B165">
            <w:pPr>
              <w:spacing w:after="0" w:line="240" w:lineRule="auto"/>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6. 测试数据集上的评估报告（含各项三级指标的实际测试结果与对比分析）。</w:t>
            </w:r>
          </w:p>
        </w:tc>
      </w:tr>
      <w:tr w14:paraId="19D9E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0818642A">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数据集描述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赛题配套数据集的核心信息，清晰说明数据相关属性及配套要求</w:t>
            </w:r>
            <w:r>
              <w:rPr>
                <w:rFonts w:ascii="Times New Roman" w:hAnsi="Times New Roman" w:eastAsia="仿宋" w:cs="Times New Roman"/>
                <w:color w:val="000000"/>
                <w:sz w:val="28"/>
                <w:szCs w:val="28"/>
                <w:lang w:eastAsia="zh-CN"/>
              </w:rPr>
              <w:t>）</w:t>
            </w:r>
          </w:p>
          <w:p w14:paraId="3C1D2EF2">
            <w:pPr>
              <w:spacing w:after="0" w:line="240" w:lineRule="auto"/>
              <w:ind w:firstLine="595"/>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eastAsia="zh-CN"/>
              </w:rPr>
              <w:t>本赛题配套提供金融租赁风险管控专属多模态数据血缘数据集，按三级构建需求分层提供</w:t>
            </w:r>
            <w:r>
              <w:rPr>
                <w:rFonts w:hint="eastAsia" w:ascii="Times New Roman" w:hAnsi="Times New Roman" w:eastAsia="仿宋" w:cs="Times New Roman"/>
                <w:color w:val="000000"/>
                <w:sz w:val="28"/>
                <w:szCs w:val="28"/>
                <w:lang w:val="en-US" w:eastAsia="zh-CN"/>
              </w:rPr>
              <w:t>基本数据或样例指导。</w:t>
            </w:r>
          </w:p>
          <w:p w14:paraId="5E327782">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val="en-US" w:eastAsia="zh-CN"/>
              </w:rPr>
              <w:t>技术血缘</w:t>
            </w:r>
            <w:r>
              <w:rPr>
                <w:rFonts w:hint="eastAsia" w:ascii="Times New Roman" w:hAnsi="Times New Roman" w:eastAsia="仿宋" w:cs="Times New Roman"/>
                <w:b/>
                <w:bCs/>
                <w:color w:val="000000"/>
                <w:sz w:val="28"/>
                <w:szCs w:val="28"/>
                <w:lang w:eastAsia="zh-CN"/>
              </w:rPr>
              <w:t>数据集：结构化数据与ETL脚本</w:t>
            </w:r>
          </w:p>
          <w:p w14:paraId="0E0A4641">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核心业务表物理原型与建表语句：包含客户信息表、合同信息表、还款流水表、风控审批记录表等核心结构化业务表的DDL语句与表结构说明；</w:t>
            </w:r>
          </w:p>
          <w:p w14:paraId="6B44F966">
            <w:pPr>
              <w:spacing w:after="0" w:line="240" w:lineRule="auto"/>
              <w:ind w:firstLine="595"/>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eastAsia="zh-CN"/>
              </w:rPr>
              <w:t xml:space="preserve"> • Demo ETL脚本：存储过程脚本加工逻辑的样本脚本，覆盖简单查询、复杂JOIN、嵌套子查询、CTE、窗口函数等场景；</w:t>
            </w:r>
            <w:r>
              <w:rPr>
                <w:rFonts w:hint="eastAsia" w:ascii="Times New Roman" w:hAnsi="Times New Roman" w:eastAsia="仿宋" w:cs="Times New Roman"/>
                <w:color w:val="000000"/>
                <w:sz w:val="28"/>
                <w:szCs w:val="28"/>
                <w:lang w:val="en-US" w:eastAsia="zh-CN"/>
              </w:rPr>
              <w:t>参赛者需要根据Demo ETL自行设计更复杂的脚本任务，适应最后更复杂的真实业务系统测试。</w:t>
            </w:r>
          </w:p>
          <w:p w14:paraId="448960D3">
            <w:pPr>
              <w:spacing w:after="0" w:line="240" w:lineRule="auto"/>
              <w:ind w:firstLine="595"/>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eastAsia="zh-CN"/>
              </w:rPr>
              <w:t xml:space="preserve"> • 调度任务定义文件：</w:t>
            </w:r>
            <w:r>
              <w:rPr>
                <w:rFonts w:hint="eastAsia" w:ascii="Times New Roman" w:hAnsi="Times New Roman" w:eastAsia="仿宋" w:cs="Times New Roman"/>
                <w:color w:val="000000"/>
                <w:sz w:val="28"/>
                <w:szCs w:val="28"/>
                <w:lang w:val="en-US" w:eastAsia="zh-CN"/>
              </w:rPr>
              <w:t>可参考</w:t>
            </w:r>
            <w:r>
              <w:rPr>
                <w:rFonts w:hint="eastAsia" w:ascii="Times New Roman" w:hAnsi="Times New Roman" w:eastAsia="仿宋" w:cs="Times New Roman"/>
                <w:color w:val="000000"/>
                <w:sz w:val="28"/>
                <w:szCs w:val="28"/>
                <w:lang w:eastAsia="zh-CN"/>
              </w:rPr>
              <w:t>Airflow/DolphinScheduler的DAG定义文件（JSON/YAML/Python格式），涵盖任务依赖、触发规则、时序配置等语义描述；</w:t>
            </w:r>
            <w:r>
              <w:rPr>
                <w:rFonts w:hint="eastAsia" w:ascii="Times New Roman" w:hAnsi="Times New Roman" w:eastAsia="仿宋" w:cs="Times New Roman"/>
                <w:color w:val="000000"/>
                <w:sz w:val="28"/>
                <w:szCs w:val="28"/>
                <w:lang w:val="en-US" w:eastAsia="zh-CN"/>
              </w:rPr>
              <w:t>自行上网获取。</w:t>
            </w:r>
          </w:p>
          <w:p w14:paraId="0455B20A">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样本数据：脱敏后的核心业务表样本数据，用于验证血缘解析结果的正确性。 </w:t>
            </w:r>
          </w:p>
          <w:p w14:paraId="3CF9B65A">
            <w:pPr>
              <w:spacing w:after="0" w:line="240" w:lineRule="auto"/>
              <w:ind w:firstLine="595"/>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b/>
                <w:bCs/>
                <w:color w:val="000000"/>
                <w:sz w:val="28"/>
                <w:szCs w:val="28"/>
                <w:lang w:val="en-US" w:eastAsia="zh-CN"/>
              </w:rPr>
              <w:t>资产血缘</w:t>
            </w:r>
            <w:r>
              <w:rPr>
                <w:rFonts w:hint="eastAsia" w:ascii="Times New Roman" w:hAnsi="Times New Roman" w:eastAsia="仿宋" w:cs="Times New Roman"/>
                <w:b/>
                <w:bCs/>
                <w:color w:val="000000"/>
                <w:sz w:val="28"/>
                <w:szCs w:val="28"/>
                <w:lang w:eastAsia="zh-CN"/>
              </w:rPr>
              <w:t>数据集：业务元数据与治理规则</w:t>
            </w:r>
            <w:r>
              <w:rPr>
                <w:rFonts w:hint="eastAsia"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val="en-US" w:eastAsia="zh-CN"/>
              </w:rPr>
              <w:t>根据本题设计，需要参赛者自行设计整个数据治理体系，届时</w:t>
            </w:r>
            <w:r>
              <w:rPr>
                <w:rFonts w:hint="eastAsia" w:ascii="Times New Roman" w:hAnsi="Times New Roman" w:eastAsia="仿宋" w:cs="Times New Roman"/>
                <w:color w:val="000000"/>
                <w:sz w:val="28"/>
                <w:szCs w:val="28"/>
                <w:lang w:eastAsia="zh-CN"/>
              </w:rPr>
              <w:t>命题单位</w:t>
            </w:r>
            <w:r>
              <w:rPr>
                <w:rFonts w:hint="eastAsia" w:ascii="Times New Roman" w:hAnsi="Times New Roman" w:eastAsia="仿宋" w:cs="Times New Roman"/>
                <w:color w:val="000000"/>
                <w:sz w:val="28"/>
                <w:szCs w:val="28"/>
                <w:lang w:val="en-US" w:eastAsia="zh-CN"/>
              </w:rPr>
              <w:t>可提供专家辅导。</w:t>
            </w:r>
          </w:p>
          <w:p w14:paraId="6391B38C">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业务域与数据主题定义：金融租赁业务域划分（如客户域、合同域、资产域、风控域）及数据主题清单；</w:t>
            </w:r>
          </w:p>
          <w:p w14:paraId="24C3912E">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数据标准与质量规则：核心字段的数据标准定义（如客户编号统一规则、金额精度标准）、质量校验规则（如非空、唯一性、范围约束）；</w:t>
            </w:r>
          </w:p>
          <w:p w14:paraId="3EFF3BF3">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数据owner与权责清单：模拟的数据资产责任人分配表，用于验证资产导航系统的治理融合能力。 </w:t>
            </w:r>
          </w:p>
          <w:p w14:paraId="64168A9B">
            <w:pPr>
              <w:spacing w:after="0" w:line="240" w:lineRule="auto"/>
              <w:ind w:firstLine="595"/>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b/>
                <w:bCs/>
                <w:color w:val="000000"/>
                <w:sz w:val="28"/>
                <w:szCs w:val="28"/>
                <w:lang w:val="en-US" w:eastAsia="zh-CN"/>
              </w:rPr>
              <w:t>实时血缘</w:t>
            </w:r>
            <w:r>
              <w:rPr>
                <w:rFonts w:hint="eastAsia" w:ascii="Times New Roman" w:hAnsi="Times New Roman" w:eastAsia="仿宋" w:cs="Times New Roman"/>
                <w:b/>
                <w:bCs/>
                <w:color w:val="000000"/>
                <w:sz w:val="28"/>
                <w:szCs w:val="28"/>
                <w:lang w:eastAsia="zh-CN"/>
              </w:rPr>
              <w:t>数据集：非结构化风险数据</w:t>
            </w:r>
            <w:r>
              <w:rPr>
                <w:rFonts w:hint="eastAsia" w:ascii="Times New Roman" w:hAnsi="Times New Roman" w:eastAsia="仿宋" w:cs="Times New Roman"/>
                <w:b w:val="0"/>
                <w:bCs w:val="0"/>
                <w:color w:val="000000"/>
                <w:sz w:val="28"/>
                <w:szCs w:val="28"/>
                <w:lang w:eastAsia="zh-CN"/>
              </w:rPr>
              <w:t>，</w:t>
            </w:r>
            <w:r>
              <w:rPr>
                <w:rFonts w:hint="eastAsia" w:ascii="Times New Roman" w:hAnsi="Times New Roman" w:eastAsia="仿宋" w:cs="Times New Roman"/>
                <w:b w:val="0"/>
                <w:bCs w:val="0"/>
                <w:color w:val="000000"/>
                <w:sz w:val="28"/>
                <w:szCs w:val="28"/>
                <w:lang w:val="en-US" w:eastAsia="zh-CN"/>
              </w:rPr>
              <w:t>根据本题设计以及数据敏感性原因，参赛者可以跟</w:t>
            </w:r>
            <w:r>
              <w:rPr>
                <w:rFonts w:hint="eastAsia" w:ascii="Times New Roman" w:hAnsi="Times New Roman" w:eastAsia="仿宋" w:cs="Times New Roman"/>
                <w:color w:val="000000"/>
                <w:sz w:val="28"/>
                <w:szCs w:val="28"/>
                <w:lang w:eastAsia="zh-CN"/>
              </w:rPr>
              <w:t>命题单位</w:t>
            </w:r>
            <w:r>
              <w:rPr>
                <w:rFonts w:hint="eastAsia" w:ascii="Times New Roman" w:hAnsi="Times New Roman" w:eastAsia="仿宋" w:cs="Times New Roman"/>
                <w:b w:val="0"/>
                <w:bCs w:val="0"/>
                <w:color w:val="000000"/>
                <w:sz w:val="28"/>
                <w:szCs w:val="28"/>
                <w:lang w:val="en-US" w:eastAsia="zh-CN"/>
              </w:rPr>
              <w:t>联系获得专家指导服务，将提供个别样例，更多的内容则需要参赛团队自行拟定。</w:t>
            </w:r>
          </w:p>
          <w:p w14:paraId="36702B13">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 尽调报告模板与样例：包含承租人财务分析、担保人评估、行业风险分析等章节的标准尽调报告模板及脱敏样例；</w:t>
            </w:r>
          </w:p>
          <w:p w14:paraId="2E2001E5">
            <w:pPr>
              <w:spacing w:after="0" w:line="240" w:lineRule="auto"/>
              <w:ind w:firstLine="595"/>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eastAsia="zh-CN"/>
              </w:rPr>
              <w:t xml:space="preserve"> • 法院公告与判决书样例：包含资产查封、诉讼判决等场景的司法文书模板及脱敏样例；</w:t>
            </w:r>
            <w:r>
              <w:rPr>
                <w:rFonts w:hint="eastAsia" w:ascii="Times New Roman" w:hAnsi="Times New Roman" w:eastAsia="仿宋" w:cs="Times New Roman"/>
                <w:color w:val="000000"/>
                <w:sz w:val="28"/>
                <w:szCs w:val="28"/>
                <w:lang w:val="en-US" w:eastAsia="zh-CN"/>
              </w:rPr>
              <w:t>参考裁判文书网。</w:t>
            </w:r>
          </w:p>
          <w:p w14:paraId="45FA88DF">
            <w:pPr>
              <w:spacing w:after="0" w:line="240" w:lineRule="auto"/>
              <w:ind w:firstLine="595"/>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eastAsia="zh-CN"/>
              </w:rPr>
              <w:t xml:space="preserve"> • 舆情资讯样例：包含行业风险、企业经营异常等场景的新闻报道与社交媒体文本样例；</w:t>
            </w:r>
            <w:r>
              <w:rPr>
                <w:rFonts w:hint="eastAsia" w:ascii="Times New Roman" w:hAnsi="Times New Roman" w:eastAsia="仿宋" w:cs="Times New Roman"/>
                <w:color w:val="000000"/>
                <w:sz w:val="28"/>
                <w:szCs w:val="28"/>
                <w:lang w:val="en-US" w:eastAsia="zh-CN"/>
              </w:rPr>
              <w:t>参考新浪、头条以及抖音。</w:t>
            </w:r>
          </w:p>
          <w:p w14:paraId="516C2924">
            <w:pPr>
              <w:spacing w:after="0" w:line="240" w:lineRule="auto"/>
              <w:ind w:firstLine="595"/>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eastAsia="zh-CN"/>
              </w:rPr>
              <w:t xml:space="preserve"> • 巡检记录样例：包含现场巡检照片、视频及对应的结构化巡检结论；</w:t>
            </w:r>
            <w:r>
              <w:rPr>
                <w:rFonts w:hint="eastAsia" w:ascii="Times New Roman" w:hAnsi="Times New Roman" w:eastAsia="仿宋" w:cs="Times New Roman"/>
                <w:color w:val="000000"/>
                <w:sz w:val="28"/>
                <w:szCs w:val="28"/>
                <w:lang w:val="en-US" w:eastAsia="zh-CN"/>
              </w:rPr>
              <w:t>届时会提供样例。</w:t>
            </w:r>
          </w:p>
          <w:p w14:paraId="5B0CBCEF">
            <w:pPr>
              <w:spacing w:after="0" w:line="240" w:lineRule="auto"/>
              <w:ind w:firstLine="595"/>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eastAsia="zh-CN"/>
              </w:rPr>
              <w:t xml:space="preserve"> • 风险传导规则基准：由风控专家整理的历史风险案例及传导规则，用于验证风险推演模型的准确性。</w:t>
            </w:r>
            <w:r>
              <w:rPr>
                <w:rFonts w:hint="eastAsia" w:ascii="Times New Roman" w:hAnsi="Times New Roman" w:eastAsia="仿宋" w:cs="Times New Roman"/>
                <w:color w:val="000000"/>
                <w:sz w:val="28"/>
                <w:szCs w:val="28"/>
                <w:lang w:val="en-US" w:eastAsia="zh-CN"/>
              </w:rPr>
              <w:t>会提供专家指导。</w:t>
            </w:r>
          </w:p>
          <w:p w14:paraId="32CDBD0A">
            <w:pPr>
              <w:spacing w:after="0" w:line="240" w:lineRule="auto"/>
              <w:ind w:firstLine="595"/>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【配套要求】 参赛团队需基于上述数据集完成三级血缘构建，并验证系统对新型脚本、新型调度任务定义、新型非结构化文档的自适应能力。命题单位将提供专家经验咨询与文档结构辅导，协助参赛团队理解金融租赁业务逻辑与风险传导机制。</w:t>
            </w:r>
            <w:bookmarkStart w:id="0" w:name="_GoBack"/>
            <w:bookmarkEnd w:id="0"/>
          </w:p>
        </w:tc>
      </w:tr>
    </w:tbl>
    <w:p w14:paraId="58001745">
      <w:pPr>
        <w:rPr>
          <w:rFonts w:hint="eastAsia"/>
          <w:lang w:eastAsia="zh-CN"/>
        </w:rPr>
      </w:pPr>
    </w:p>
    <w:sectPr>
      <w:pgSz w:w="11906" w:h="16838"/>
      <w:pgMar w:top="1134" w:right="850" w:bottom="1134" w:left="1701" w:header="709" w:footer="709"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2C471D"/>
    <w:multiLevelType w:val="singleLevel"/>
    <w:tmpl w:val="B02C471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E8E"/>
    <w:rsid w:val="0021554B"/>
    <w:rsid w:val="002601A9"/>
    <w:rsid w:val="002F4E8E"/>
    <w:rsid w:val="003003D2"/>
    <w:rsid w:val="004B42C4"/>
    <w:rsid w:val="00594A02"/>
    <w:rsid w:val="006550FB"/>
    <w:rsid w:val="008065E4"/>
    <w:rsid w:val="008847B8"/>
    <w:rsid w:val="00913D29"/>
    <w:rsid w:val="00972C69"/>
    <w:rsid w:val="009850D4"/>
    <w:rsid w:val="009C352B"/>
    <w:rsid w:val="00B6506D"/>
    <w:rsid w:val="00DA26E7"/>
    <w:rsid w:val="00DE6675"/>
    <w:rsid w:val="00FC0FF6"/>
    <w:rsid w:val="069845E6"/>
    <w:rsid w:val="08A76D63"/>
    <w:rsid w:val="16A35813"/>
    <w:rsid w:val="179E74A2"/>
    <w:rsid w:val="17FF5D24"/>
    <w:rsid w:val="1D20098C"/>
    <w:rsid w:val="257E761D"/>
    <w:rsid w:val="30143195"/>
    <w:rsid w:val="384C3D86"/>
    <w:rsid w:val="38515D2F"/>
    <w:rsid w:val="3E921173"/>
    <w:rsid w:val="3EDE497B"/>
    <w:rsid w:val="3F0041ED"/>
    <w:rsid w:val="4AA146C5"/>
    <w:rsid w:val="504B2285"/>
    <w:rsid w:val="57B15405"/>
    <w:rsid w:val="5A346EB9"/>
    <w:rsid w:val="5D1C479E"/>
    <w:rsid w:val="62906CC5"/>
    <w:rsid w:val="63260125"/>
    <w:rsid w:val="68197D78"/>
    <w:rsid w:val="69917E31"/>
    <w:rsid w:val="6C6D46BB"/>
    <w:rsid w:val="6D704142"/>
    <w:rsid w:val="7D5A3AEE"/>
    <w:rsid w:val="7DD97815"/>
    <w:rsid w:val="7E3470C0"/>
    <w:rsid w:val="7F4C2F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zh-CN" w:eastAsia="en-US" w:bidi="ar-SA"/>
    </w:rPr>
  </w:style>
  <w:style w:type="paragraph" w:styleId="2">
    <w:name w:val="heading 3"/>
    <w:basedOn w:val="1"/>
    <w:next w:val="1"/>
    <w:semiHidden/>
    <w:unhideWhenUsed/>
    <w:qFormat/>
    <w:uiPriority w:val="9"/>
    <w:pPr>
      <w:spacing w:beforeAutospacing="1" w:after="0" w:afterAutospacing="1"/>
      <w:outlineLvl w:val="2"/>
    </w:pPr>
    <w:rPr>
      <w:rFonts w:hint="eastAsia" w:ascii="宋体" w:hAnsi="宋体" w:eastAsia="宋体" w:cs="Times New Roman"/>
      <w:b/>
      <w:bCs/>
      <w:sz w:val="27"/>
      <w:szCs w:val="27"/>
      <w:lang w:val="en-US" w:eastAsia="zh-CN"/>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6">
    <w:name w:val="Strong"/>
    <w:basedOn w:val="5"/>
    <w:qFormat/>
    <w:uiPriority w:val="22"/>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6959</Words>
  <Characters>7404</Characters>
  <Lines>30</Lines>
  <Paragraphs>8</Paragraphs>
  <TotalTime>6</TotalTime>
  <ScaleCrop>false</ScaleCrop>
  <LinksUpToDate>false</LinksUpToDate>
  <CharactersWithSpaces>7576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2026-04-17T11:07:00Z</dcterms:created>
  <dc:creator>李昊骅 南京大学</dc:creator>
  <cp:lastModifiedBy>work</cp:lastModifiedBy>
  <dcterms:modified xsi:type="dcterms:W3CDTF">2026-05-12T12:09:27Z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eyJoZGlkIjoiZDBjMTFjYjk0NTY5YmQ1ZjYwNjNlNjYyNDkwZmZmY2UiLCJ1c2VySWQiOiIyMDE1MzQ4NzQifQ==</vt:lpwstr>
  </property>
  <property fmtid="{D5CDD505-2E9C-101B-9397-08002B2CF9AE}" pid="3" name="KSOProductBuildVer">
    <vt:lpwstr>2052-12.1.0.25865</vt:lpwstr>
  </property>
  <property fmtid="{D5CDD505-2E9C-101B-9397-08002B2CF9AE}" pid="4" name="ICV">
    <vt:lpwstr>F45EEA9BD6CA4CD2B6C352C46A2ED8BE_12</vt:lpwstr>
  </property>
</Properties>
</file>