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91AB47">
      <w:pPr>
        <w:spacing w:after="0" w:line="240" w:lineRule="auto"/>
        <w:jc w:val="center"/>
        <w:rPr>
          <w:rFonts w:eastAsia="黑体" w:cs="Times New Roman"/>
          <w:b/>
          <w:bCs/>
          <w:sz w:val="44"/>
          <w:szCs w:val="42"/>
          <w:lang w:eastAsia="zh-CN"/>
        </w:rPr>
      </w:pPr>
    </w:p>
    <w:p w14:paraId="685C0F8E">
      <w:pPr>
        <w:spacing w:after="0" w:line="240" w:lineRule="auto"/>
        <w:jc w:val="center"/>
        <w:rPr>
          <w:rFonts w:eastAsia="黑体" w:cs="Times New Roman"/>
          <w:b/>
          <w:bCs/>
          <w:sz w:val="44"/>
          <w:szCs w:val="42"/>
          <w:lang w:eastAsia="zh-CN"/>
        </w:rPr>
      </w:pPr>
      <w:r>
        <w:rPr>
          <w:rFonts w:eastAsia="黑体" w:cs="Times New Roman"/>
          <w:b/>
          <w:bCs/>
          <w:sz w:val="44"/>
          <w:szCs w:val="42"/>
          <w:lang w:eastAsia="zh-CN"/>
        </w:rPr>
        <w:t>第五届中国研究生金融科技创新大赛</w:t>
      </w:r>
    </w:p>
    <w:p w14:paraId="5462D737">
      <w:pPr>
        <w:spacing w:line="600" w:lineRule="exact"/>
        <w:jc w:val="center"/>
        <w:rPr>
          <w:rFonts w:ascii="Times New Roman" w:hAnsi="Times New Roman" w:cs="Times New Roman"/>
          <w:b/>
          <w:bCs/>
          <w:sz w:val="32"/>
          <w:szCs w:val="32"/>
          <w:lang w:eastAsia="zh-CN"/>
        </w:rPr>
      </w:pPr>
      <w:r>
        <w:rPr>
          <w:rFonts w:hint="eastAsia" w:eastAsia="黑体" w:cs="Times New Roman"/>
          <w:b/>
          <w:bCs/>
          <w:sz w:val="44"/>
          <w:szCs w:val="42"/>
          <w:lang w:eastAsia="zh-CN"/>
        </w:rPr>
        <w:t>“</w:t>
      </w:r>
      <w:r>
        <w:rPr>
          <w:rFonts w:eastAsia="黑体" w:cs="Times New Roman"/>
          <w:b/>
          <w:bCs/>
          <w:sz w:val="44"/>
          <w:szCs w:val="42"/>
          <w:lang w:eastAsia="zh-CN"/>
        </w:rPr>
        <w:t>揭榜挂帅</w:t>
      </w:r>
      <w:r>
        <w:rPr>
          <w:rFonts w:hint="eastAsia" w:eastAsia="黑体" w:cs="Times New Roman"/>
          <w:b/>
          <w:bCs/>
          <w:sz w:val="44"/>
          <w:szCs w:val="42"/>
          <w:lang w:eastAsia="zh-CN"/>
        </w:rPr>
        <w:t>”</w:t>
      </w:r>
      <w:r>
        <w:rPr>
          <w:rFonts w:eastAsia="黑体" w:cs="Times New Roman"/>
          <w:b/>
          <w:bCs/>
          <w:sz w:val="44"/>
          <w:szCs w:val="42"/>
          <w:lang w:eastAsia="zh-CN"/>
        </w:rPr>
        <w:t>赛题说明</w:t>
      </w:r>
    </w:p>
    <w:tbl>
      <w:tblPr>
        <w:tblStyle w:val="4"/>
        <w:tblW w:w="1006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26"/>
        <w:gridCol w:w="1276"/>
        <w:gridCol w:w="1984"/>
        <w:gridCol w:w="1346"/>
        <w:gridCol w:w="3331"/>
      </w:tblGrid>
      <w:tr w14:paraId="18663F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7B7EE7BD">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一、命题单位基本情况</w:t>
            </w:r>
          </w:p>
        </w:tc>
      </w:tr>
      <w:tr w14:paraId="18BF47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126" w:type="dxa"/>
            <w:tcBorders>
              <w:top w:val="single" w:color="000000" w:sz="4" w:space="0"/>
              <w:left w:val="single" w:color="000000" w:sz="4" w:space="0"/>
              <w:bottom w:val="single" w:color="000000" w:sz="4" w:space="0"/>
              <w:right w:val="single" w:color="000000" w:sz="4" w:space="0"/>
            </w:tcBorders>
            <w:noWrap/>
            <w:vAlign w:val="center"/>
          </w:tcPr>
          <w:p w14:paraId="1A6F3E89">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单位名称</w:t>
            </w:r>
          </w:p>
        </w:tc>
        <w:tc>
          <w:tcPr>
            <w:tcW w:w="7937" w:type="dxa"/>
            <w:gridSpan w:val="4"/>
            <w:tcBorders>
              <w:top w:val="single" w:color="000000" w:sz="4" w:space="0"/>
              <w:left w:val="single" w:color="000000" w:sz="4" w:space="0"/>
              <w:bottom w:val="single" w:color="000000" w:sz="4" w:space="0"/>
              <w:right w:val="single" w:color="000000" w:sz="4" w:space="0"/>
            </w:tcBorders>
            <w:noWrap/>
            <w:vAlign w:val="center"/>
          </w:tcPr>
          <w:p w14:paraId="705D830D">
            <w:pPr>
              <w:spacing w:after="0" w:line="240" w:lineRule="auto"/>
              <w:jc w:val="center"/>
              <w:rPr>
                <w:rFonts w:ascii="Times New Roman" w:hAnsi="Times New Roman" w:eastAsia="仿宋" w:cs="Times New Roman"/>
                <w:color w:val="000000"/>
                <w:sz w:val="28"/>
                <w:szCs w:val="28"/>
              </w:rPr>
            </w:pPr>
            <w:r>
              <w:rPr>
                <w:rFonts w:hint="eastAsia" w:eastAsia="仿宋_GB2312" w:cs="Arial"/>
                <w:b/>
                <w:bCs/>
                <w:color w:val="000000"/>
                <w:sz w:val="28"/>
                <w:szCs w:val="28"/>
              </w:rPr>
              <w:t>利安人寿保险股份有限公司</w:t>
            </w:r>
          </w:p>
        </w:tc>
      </w:tr>
      <w:tr w14:paraId="195516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126" w:type="dxa"/>
            <w:tcBorders>
              <w:top w:val="single" w:color="000000" w:sz="4" w:space="0"/>
              <w:left w:val="single" w:color="000000" w:sz="4" w:space="0"/>
              <w:bottom w:val="single" w:color="000000" w:sz="4" w:space="0"/>
              <w:right w:val="single" w:color="000000" w:sz="4" w:space="0"/>
            </w:tcBorders>
            <w:noWrap/>
            <w:vAlign w:val="center"/>
          </w:tcPr>
          <w:p w14:paraId="6D104341">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单位地址</w:t>
            </w:r>
          </w:p>
        </w:tc>
        <w:tc>
          <w:tcPr>
            <w:tcW w:w="7937" w:type="dxa"/>
            <w:gridSpan w:val="4"/>
            <w:tcBorders>
              <w:top w:val="single" w:color="000000" w:sz="4" w:space="0"/>
              <w:left w:val="single" w:color="000000" w:sz="4" w:space="0"/>
              <w:bottom w:val="single" w:color="000000" w:sz="4" w:space="0"/>
              <w:right w:val="single" w:color="000000" w:sz="4" w:space="0"/>
            </w:tcBorders>
            <w:noWrap/>
            <w:vAlign w:val="center"/>
          </w:tcPr>
          <w:p w14:paraId="68864464">
            <w:pPr>
              <w:spacing w:after="0" w:line="240" w:lineRule="auto"/>
              <w:jc w:val="center"/>
              <w:rPr>
                <w:rFonts w:ascii="Times New Roman" w:hAnsi="Times New Roman" w:eastAsia="仿宋" w:cs="Times New Roman"/>
                <w:color w:val="000000"/>
                <w:sz w:val="28"/>
                <w:szCs w:val="28"/>
              </w:rPr>
            </w:pPr>
            <w:r>
              <w:rPr>
                <w:rFonts w:hint="eastAsia" w:eastAsia="仿宋_GB2312" w:cs="Arial"/>
                <w:color w:val="000000"/>
                <w:sz w:val="28"/>
                <w:szCs w:val="28"/>
              </w:rPr>
              <w:t>江苏省南京市建邺区江东中路235号雨润国际广场B1楼8-13层、15-16层</w:t>
            </w:r>
          </w:p>
        </w:tc>
      </w:tr>
      <w:tr w14:paraId="2AE965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7" w:hRule="atLeast"/>
          <w:jc w:val="center"/>
        </w:trPr>
        <w:tc>
          <w:tcPr>
            <w:tcW w:w="2126" w:type="dxa"/>
            <w:tcBorders>
              <w:top w:val="single" w:color="000000" w:sz="4" w:space="0"/>
              <w:left w:val="single" w:color="000000" w:sz="4" w:space="0"/>
              <w:bottom w:val="single" w:color="000000" w:sz="4" w:space="0"/>
              <w:right w:val="single" w:color="000000" w:sz="4" w:space="0"/>
            </w:tcBorders>
            <w:noWrap/>
            <w:vAlign w:val="center"/>
          </w:tcPr>
          <w:p w14:paraId="083481FC">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单位简介</w:t>
            </w:r>
          </w:p>
        </w:tc>
        <w:tc>
          <w:tcPr>
            <w:tcW w:w="7937" w:type="dxa"/>
            <w:gridSpan w:val="4"/>
            <w:tcBorders>
              <w:top w:val="single" w:color="000000" w:sz="4" w:space="0"/>
              <w:left w:val="single" w:color="000000" w:sz="4" w:space="0"/>
              <w:bottom w:val="single" w:color="000000" w:sz="4" w:space="0"/>
              <w:right w:val="single" w:color="000000" w:sz="4" w:space="0"/>
            </w:tcBorders>
            <w:noWrap/>
            <w:vAlign w:val="center"/>
          </w:tcPr>
          <w:p w14:paraId="0A92C778">
            <w:pPr>
              <w:spacing w:after="0" w:line="240" w:lineRule="auto"/>
              <w:ind w:firstLine="560" w:firstLineChars="200"/>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利安人寿保险股份有限公司（简称“利安人寿”）成立于2011年7月，是经国家金融监督管理部门批准设立的一家全国性人身保险公司。利安人寿股东由江苏省国际信托有限责任公司、江苏交通控股有限公司、南京紫金投资集团有限责任公司、江苏汇鸿国际集团股份有限公司、江苏省信用再担保集团有限公司等5家国有大型企业和深圳市为顺正新投资有限责任公司、雨润控股集团有限公司、月星集团有限公司、红豆集团有限公司、远东控股集团有限公司等5家知名民营企业组成。公司注册资本45.79亿元人民币，总部位于南京。业务范围：人寿保险、健康保险、意外伤害保险等各类人身保险业务；上述业务的再保险业务；国家法律、法规允许的保险资金运用业务；经中国银保监会批准的其他业务。</w:t>
            </w:r>
          </w:p>
          <w:p w14:paraId="2B74B8AC">
            <w:pPr>
              <w:spacing w:after="0" w:line="240" w:lineRule="auto"/>
              <w:ind w:firstLine="560" w:firstLineChars="200"/>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利安人寿以“崇德向善 利国安民”为使命，以“诚信、专业、合作、创新”为公司核心价值观，坚持以客户为中心的发展战略，承保理赔准确高效，精心打造“连客优”（Lian Care U）增值服务体系，为客户定制了集健康管理、养老护理权益、品质生活于一体的多层次家庭需求解决方案，努力为社会大众提供全面周到的保险服务，为健全社会保障体系、保障民众生活安定贡献利安力量。利安人寿在帮助客户实现终身价值最大化的同时，积极为员工的职业生涯发展提供良好平台，致力于打造“特和美”新利安，成为广受尊重的保险公司。</w:t>
            </w:r>
          </w:p>
        </w:tc>
      </w:tr>
      <w:tr w14:paraId="4F03AD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126" w:type="dxa"/>
            <w:vMerge w:val="restart"/>
            <w:tcBorders>
              <w:top w:val="single" w:color="000000" w:sz="4" w:space="0"/>
              <w:left w:val="single" w:color="000000" w:sz="4" w:space="0"/>
              <w:bottom w:val="single" w:color="000000" w:sz="4" w:space="0"/>
              <w:right w:val="single" w:color="000000" w:sz="4" w:space="0"/>
            </w:tcBorders>
            <w:noWrap/>
            <w:vAlign w:val="center"/>
          </w:tcPr>
          <w:p w14:paraId="0AC0BB4D">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联系人</w:t>
            </w:r>
          </w:p>
        </w:tc>
        <w:tc>
          <w:tcPr>
            <w:tcW w:w="1276" w:type="dxa"/>
            <w:tcBorders>
              <w:top w:val="single" w:color="000000" w:sz="4" w:space="0"/>
              <w:left w:val="single" w:color="000000" w:sz="4" w:space="0"/>
              <w:bottom w:val="single" w:color="000000" w:sz="4" w:space="0"/>
              <w:right w:val="single" w:color="000000" w:sz="4" w:space="0"/>
            </w:tcBorders>
            <w:noWrap/>
            <w:vAlign w:val="center"/>
          </w:tcPr>
          <w:p w14:paraId="1B6BF9A8">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姓名</w:t>
            </w:r>
          </w:p>
        </w:tc>
        <w:tc>
          <w:tcPr>
            <w:tcW w:w="1984" w:type="dxa"/>
            <w:tcBorders>
              <w:top w:val="single" w:color="000000" w:sz="4" w:space="0"/>
              <w:left w:val="single" w:color="000000" w:sz="4" w:space="0"/>
              <w:bottom w:val="single" w:color="000000" w:sz="4" w:space="0"/>
              <w:right w:val="single" w:color="000000" w:sz="4" w:space="0"/>
            </w:tcBorders>
            <w:noWrap/>
            <w:vAlign w:val="center"/>
          </w:tcPr>
          <w:p w14:paraId="146DD4A0">
            <w:pPr>
              <w:spacing w:after="0" w:line="240" w:lineRule="auto"/>
              <w:jc w:val="center"/>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刘明鑫</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2C163692">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职务</w:t>
            </w:r>
          </w:p>
        </w:tc>
        <w:tc>
          <w:tcPr>
            <w:tcW w:w="3331" w:type="dxa"/>
            <w:tcBorders>
              <w:top w:val="single" w:color="000000" w:sz="4" w:space="0"/>
              <w:left w:val="single" w:color="000000" w:sz="4" w:space="0"/>
              <w:bottom w:val="single" w:color="000000" w:sz="4" w:space="0"/>
              <w:right w:val="single" w:color="000000" w:sz="4" w:space="0"/>
            </w:tcBorders>
            <w:noWrap/>
            <w:vAlign w:val="center"/>
          </w:tcPr>
          <w:p w14:paraId="20D578B0">
            <w:pPr>
              <w:spacing w:after="0" w:line="240" w:lineRule="auto"/>
              <w:jc w:val="center"/>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数据架构</w:t>
            </w:r>
          </w:p>
        </w:tc>
      </w:tr>
      <w:tr w14:paraId="11BCB0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126" w:type="dxa"/>
            <w:vMerge w:val="continue"/>
            <w:tcBorders>
              <w:top w:val="single" w:color="000000" w:sz="4" w:space="0"/>
              <w:left w:val="single" w:color="000000" w:sz="4" w:space="0"/>
              <w:bottom w:val="single" w:color="000000" w:sz="4" w:space="0"/>
              <w:right w:val="single" w:color="000000" w:sz="4" w:space="0"/>
            </w:tcBorders>
            <w:vAlign w:val="center"/>
          </w:tcPr>
          <w:p w14:paraId="613159FE">
            <w:pPr>
              <w:spacing w:after="0" w:line="240" w:lineRule="auto"/>
              <w:rPr>
                <w:rFonts w:ascii="Times New Roman" w:hAnsi="Times New Roman" w:eastAsia="黑体" w:cs="Times New Roman"/>
                <w:b/>
                <w:bCs/>
                <w:color w:val="000000"/>
                <w:sz w:val="28"/>
                <w:szCs w:val="28"/>
                <w:lang w:eastAsia="zh-CN"/>
              </w:rPr>
            </w:pPr>
          </w:p>
        </w:tc>
        <w:tc>
          <w:tcPr>
            <w:tcW w:w="1276" w:type="dxa"/>
            <w:tcBorders>
              <w:top w:val="single" w:color="000000" w:sz="4" w:space="0"/>
              <w:left w:val="single" w:color="000000" w:sz="4" w:space="0"/>
              <w:bottom w:val="single" w:color="000000" w:sz="4" w:space="0"/>
              <w:right w:val="single" w:color="000000" w:sz="4" w:space="0"/>
            </w:tcBorders>
            <w:noWrap/>
            <w:vAlign w:val="center"/>
          </w:tcPr>
          <w:p w14:paraId="7BCD483B">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手机</w:t>
            </w:r>
          </w:p>
        </w:tc>
        <w:tc>
          <w:tcPr>
            <w:tcW w:w="1984" w:type="dxa"/>
            <w:tcBorders>
              <w:top w:val="single" w:color="000000" w:sz="4" w:space="0"/>
              <w:left w:val="single" w:color="000000" w:sz="4" w:space="0"/>
              <w:bottom w:val="single" w:color="000000" w:sz="4" w:space="0"/>
              <w:right w:val="single" w:color="000000" w:sz="4" w:space="0"/>
            </w:tcBorders>
            <w:noWrap/>
            <w:vAlign w:val="center"/>
          </w:tcPr>
          <w:p w14:paraId="69C8DD89">
            <w:pPr>
              <w:spacing w:after="0" w:line="240" w:lineRule="auto"/>
              <w:jc w:val="center"/>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15951992035</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042DF578">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邮箱</w:t>
            </w:r>
          </w:p>
        </w:tc>
        <w:tc>
          <w:tcPr>
            <w:tcW w:w="3331" w:type="dxa"/>
            <w:tcBorders>
              <w:top w:val="single" w:color="000000" w:sz="4" w:space="0"/>
              <w:left w:val="single" w:color="000000" w:sz="4" w:space="0"/>
              <w:bottom w:val="single" w:color="000000" w:sz="4" w:space="0"/>
              <w:right w:val="single" w:color="000000" w:sz="4" w:space="0"/>
            </w:tcBorders>
            <w:noWrap/>
            <w:vAlign w:val="center"/>
          </w:tcPr>
          <w:p w14:paraId="77D5D05E">
            <w:pPr>
              <w:spacing w:after="0" w:line="240" w:lineRule="auto"/>
              <w:jc w:val="center"/>
              <w:rPr>
                <w:rFonts w:ascii="Times New Roman" w:hAnsi="Times New Roman" w:eastAsia="仿宋" w:cs="Times New Roman"/>
                <w:color w:val="000000"/>
                <w:sz w:val="28"/>
                <w:szCs w:val="28"/>
                <w:lang w:eastAsia="zh-CN"/>
              </w:rPr>
            </w:pPr>
            <w:r>
              <w:rPr>
                <w:rFonts w:eastAsia="仿宋_GB2312" w:cs="Arial"/>
                <w:color w:val="000000"/>
                <w:sz w:val="28"/>
                <w:szCs w:val="28"/>
              </w:rPr>
              <w:t>l</w:t>
            </w:r>
            <w:r>
              <w:rPr>
                <w:rFonts w:hint="eastAsia" w:eastAsia="仿宋_GB2312" w:cs="Arial"/>
                <w:color w:val="000000"/>
                <w:sz w:val="28"/>
                <w:szCs w:val="28"/>
              </w:rPr>
              <w:t>iumingxin@lianlife</w:t>
            </w:r>
            <w:r>
              <w:rPr>
                <w:rFonts w:eastAsia="仿宋_GB2312" w:cs="Arial"/>
                <w:color w:val="000000"/>
                <w:sz w:val="28"/>
                <w:szCs w:val="28"/>
              </w:rPr>
              <w:t>.com</w:t>
            </w:r>
          </w:p>
        </w:tc>
      </w:tr>
      <w:tr w14:paraId="1B9E96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57C69A4E">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二、命题信息</w:t>
            </w:r>
          </w:p>
        </w:tc>
      </w:tr>
      <w:tr w14:paraId="4CEF4B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126" w:type="dxa"/>
            <w:tcBorders>
              <w:top w:val="single" w:color="000000" w:sz="4" w:space="0"/>
              <w:left w:val="single" w:color="000000" w:sz="4" w:space="0"/>
              <w:bottom w:val="single" w:color="000000" w:sz="4" w:space="0"/>
              <w:right w:val="single" w:color="000000" w:sz="4" w:space="0"/>
            </w:tcBorders>
            <w:noWrap/>
            <w:vAlign w:val="center"/>
          </w:tcPr>
          <w:p w14:paraId="7961A555">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命题名称</w:t>
            </w:r>
          </w:p>
        </w:tc>
        <w:tc>
          <w:tcPr>
            <w:tcW w:w="7937" w:type="dxa"/>
            <w:gridSpan w:val="4"/>
            <w:tcBorders>
              <w:top w:val="single" w:color="000000" w:sz="4" w:space="0"/>
              <w:left w:val="single" w:color="000000" w:sz="4" w:space="0"/>
              <w:bottom w:val="single" w:color="000000" w:sz="4" w:space="0"/>
              <w:right w:val="single" w:color="000000" w:sz="4" w:space="0"/>
            </w:tcBorders>
            <w:noWrap/>
            <w:vAlign w:val="center"/>
          </w:tcPr>
          <w:p w14:paraId="7B2C683A">
            <w:pPr>
              <w:spacing w:after="0" w:line="240" w:lineRule="auto"/>
              <w:rPr>
                <w:rFonts w:hint="default" w:ascii="Times New Roman" w:hAnsi="Times New Roman" w:eastAsia="仿宋" w:cs="Times New Roman"/>
                <w:b/>
                <w:bCs/>
                <w:color w:val="000000"/>
                <w:sz w:val="28"/>
                <w:szCs w:val="28"/>
                <w:lang w:val="en-US" w:eastAsia="zh-CN"/>
              </w:rPr>
            </w:pPr>
            <w:r>
              <w:rPr>
                <w:rFonts w:hint="eastAsia" w:ascii="Times New Roman" w:hAnsi="Times New Roman" w:eastAsia="仿宋" w:cs="Times New Roman"/>
                <w:b/>
                <w:bCs/>
                <w:color w:val="000000"/>
                <w:sz w:val="28"/>
                <w:szCs w:val="28"/>
                <w:lang w:val="en-US" w:eastAsia="zh-CN"/>
              </w:rPr>
              <w:t>基于多源异构的寿险全域数据标准的管控平台研究</w:t>
            </w:r>
          </w:p>
        </w:tc>
      </w:tr>
      <w:tr w14:paraId="412148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126" w:type="dxa"/>
            <w:vMerge w:val="restart"/>
            <w:tcBorders>
              <w:top w:val="single" w:color="000000" w:sz="4" w:space="0"/>
              <w:left w:val="single" w:color="000000" w:sz="4" w:space="0"/>
              <w:bottom w:val="single" w:color="000000" w:sz="4" w:space="0"/>
              <w:right w:val="single" w:color="000000" w:sz="4" w:space="0"/>
            </w:tcBorders>
            <w:noWrap/>
            <w:vAlign w:val="center"/>
          </w:tcPr>
          <w:p w14:paraId="56B7D2F0">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宋体"/>
                <w:b/>
                <w:bCs/>
                <w:color w:val="000000"/>
                <w:sz w:val="28"/>
                <w:szCs w:val="28"/>
                <w:lang w:eastAsia="zh-CN"/>
              </w:rPr>
              <w:t>命题概述</w:t>
            </w:r>
          </w:p>
        </w:tc>
        <w:tc>
          <w:tcPr>
            <w:tcW w:w="7937" w:type="dxa"/>
            <w:gridSpan w:val="4"/>
            <w:vMerge w:val="restart"/>
            <w:tcBorders>
              <w:top w:val="single" w:color="000000" w:sz="4" w:space="0"/>
              <w:left w:val="single" w:color="000000" w:sz="4" w:space="0"/>
              <w:bottom w:val="single" w:color="000000" w:sz="4" w:space="0"/>
              <w:right w:val="single" w:color="000000" w:sz="4" w:space="0"/>
            </w:tcBorders>
            <w:noWrap/>
            <w:vAlign w:val="center"/>
          </w:tcPr>
          <w:p w14:paraId="21A111FB">
            <w:pPr>
              <w:spacing w:after="0" w:line="240" w:lineRule="auto"/>
              <w:rPr>
                <w:rFonts w:hint="default" w:ascii="Times New Roman" w:hAnsi="Times New Roman" w:eastAsia="仿宋" w:cs="Times New Roman"/>
                <w:color w:val="000000"/>
                <w:sz w:val="28"/>
                <w:szCs w:val="28"/>
                <w:lang w:val="en-US" w:eastAsia="zh-CN"/>
              </w:rPr>
            </w:pPr>
            <w:r>
              <w:rPr>
                <w:rFonts w:hint="default" w:ascii="Times New Roman" w:hAnsi="Times New Roman" w:eastAsia="仿宋" w:cs="Times New Roman"/>
                <w:color w:val="000000"/>
                <w:sz w:val="28"/>
                <w:szCs w:val="28"/>
                <w:lang w:val="en-US" w:eastAsia="zh-CN"/>
              </w:rPr>
              <w:t>数据治理平台统筹全域数据标准、质量、权限</w:t>
            </w:r>
            <w:r>
              <w:rPr>
                <w:rFonts w:hint="eastAsia" w:ascii="Times New Roman" w:hAnsi="Times New Roman" w:eastAsia="仿宋" w:cs="Times New Roman"/>
                <w:color w:val="000000"/>
                <w:sz w:val="28"/>
                <w:szCs w:val="28"/>
                <w:lang w:val="en-US" w:eastAsia="zh-CN"/>
              </w:rPr>
              <w:t>的</w:t>
            </w:r>
            <w:r>
              <w:rPr>
                <w:rFonts w:hint="default" w:ascii="Times New Roman" w:hAnsi="Times New Roman" w:eastAsia="仿宋" w:cs="Times New Roman"/>
                <w:color w:val="000000"/>
                <w:sz w:val="28"/>
                <w:szCs w:val="28"/>
                <w:lang w:val="en-US" w:eastAsia="zh-CN"/>
              </w:rPr>
              <w:t>资产管控，规范数据全生命周期管理，保障数据合规、准确、安全，赋能业务高效用数。</w:t>
            </w:r>
            <w:r>
              <w:rPr>
                <w:rFonts w:hint="eastAsia" w:ascii="Times New Roman" w:hAnsi="Times New Roman" w:eastAsia="仿宋" w:cs="Times New Roman"/>
                <w:color w:val="000000"/>
                <w:sz w:val="28"/>
                <w:szCs w:val="28"/>
                <w:lang w:val="en-US" w:eastAsia="zh-CN"/>
              </w:rPr>
              <w:t>本期题目重点完成基于寿险全领域数据的数据标准的数据治理平台研究。</w:t>
            </w:r>
          </w:p>
        </w:tc>
      </w:tr>
      <w:tr w14:paraId="129FDF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6383CCF4">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业务场景描述</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清晰说明现实业务现状、核心瓶颈及亟需解决的必要性</w:t>
            </w:r>
            <w:r>
              <w:rPr>
                <w:rFonts w:ascii="Times New Roman" w:hAnsi="Times New Roman" w:eastAsia="仿宋" w:cs="Times New Roman"/>
                <w:color w:val="000000"/>
                <w:sz w:val="28"/>
                <w:szCs w:val="28"/>
                <w:lang w:eastAsia="zh-CN"/>
              </w:rPr>
              <w:t>）</w:t>
            </w:r>
          </w:p>
          <w:p w14:paraId="10CD9DBC">
            <w:pPr>
              <w:spacing w:after="0" w:line="240" w:lineRule="auto"/>
              <w:ind w:firstLine="560" w:firstLineChars="200"/>
              <w:jc w:val="both"/>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寿险业务系统多源异构、架构分散，客户、保单、理赔、财务等数据口径各行其是，缺乏统一数据标准定义。各业务条段字段命名、编码规则、值域规范不统一，形成数据孤岛与标准乱象，跨系统数据融合、统计分析及监管报送极易出现偏差。同时数据标准缺乏集中管控、落地无闭环，人工核对成本高、数据质量难以保障。亟需搭建全域数据治理管控平台，统一制定、发布与落地寿险行业数据标准，规范全业务数据口径，破解标准不一、治理零散痛点，满足合规监管与数据资产化运营需求。</w:t>
            </w:r>
          </w:p>
          <w:p w14:paraId="4A3D8953">
            <w:pPr>
              <w:spacing w:after="0" w:line="240" w:lineRule="auto"/>
              <w:ind w:firstLine="560" w:firstLineChars="200"/>
              <w:jc w:val="both"/>
              <w:rPr>
                <w:rFonts w:ascii="Times New Roman" w:hAnsi="Times New Roman" w:eastAsia="仿宋" w:cs="Times New Roman"/>
                <w:color w:val="000000"/>
                <w:sz w:val="28"/>
                <w:szCs w:val="28"/>
                <w:lang w:eastAsia="zh-CN"/>
              </w:rPr>
            </w:pPr>
          </w:p>
        </w:tc>
      </w:tr>
      <w:tr w14:paraId="6669DE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7B6E30E9">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技术攻关问题描述</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提炼业务瓶颈对应的技术卡点，说明难点及现有方法不足</w:t>
            </w:r>
            <w:r>
              <w:rPr>
                <w:rFonts w:ascii="Times New Roman" w:hAnsi="Times New Roman" w:eastAsia="仿宋" w:cs="Times New Roman"/>
                <w:color w:val="000000"/>
                <w:sz w:val="28"/>
                <w:szCs w:val="28"/>
                <w:lang w:eastAsia="zh-CN"/>
              </w:rPr>
              <w:t>）</w:t>
            </w:r>
          </w:p>
          <w:p w14:paraId="0FB0B979">
            <w:pPr>
              <w:spacing w:after="0" w:line="240" w:lineRule="auto"/>
              <w:ind w:firstLine="595"/>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val="en-US" w:eastAsia="zh-CN"/>
              </w:rPr>
              <w:t>针对公司的数据规范化数据标准</w:t>
            </w:r>
            <w:r>
              <w:rPr>
                <w:rFonts w:hint="eastAsia" w:ascii="Times New Roman" w:hAnsi="Times New Roman" w:eastAsia="仿宋" w:cs="Times New Roman"/>
                <w:color w:val="000000"/>
                <w:sz w:val="28"/>
                <w:szCs w:val="28"/>
                <w:lang w:eastAsia="zh-CN"/>
              </w:rPr>
              <w:t>，存在以下几个难点</w:t>
            </w:r>
          </w:p>
          <w:p w14:paraId="504F537C">
            <w:pPr>
              <w:spacing w:after="0" w:line="240" w:lineRule="auto"/>
              <w:ind w:firstLine="595"/>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1. 多源异构数据标准适配难：寿险源系统品类多、字段口径与编码规则差异大，跨业务域数据无统一语义映射能力，现有人工对标方式效率低、易出错，无法实现智能自动匹配。</w:t>
            </w:r>
          </w:p>
          <w:p w14:paraId="45433F99">
            <w:pPr>
              <w:spacing w:after="0" w:line="240" w:lineRule="auto"/>
              <w:ind w:firstLine="595"/>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val="en-US" w:eastAsia="zh-CN"/>
              </w:rPr>
              <w:t>2</w:t>
            </w:r>
            <w:r>
              <w:rPr>
                <w:rFonts w:hint="eastAsia" w:ascii="Times New Roman" w:hAnsi="Times New Roman" w:eastAsia="仿宋" w:cs="Times New Roman"/>
                <w:color w:val="000000"/>
                <w:sz w:val="28"/>
                <w:szCs w:val="28"/>
                <w:lang w:eastAsia="zh-CN"/>
              </w:rPr>
              <w:t>. 数据标准全链路落地管控缺失：现有体系仅停留在文档化定义，缺乏从源系统、数仓到前端应用的标准穿透下发、强制校验能力，标准落地无闭环、执行无约束。</w:t>
            </w:r>
          </w:p>
          <w:p w14:paraId="66D552D2">
            <w:pPr>
              <w:spacing w:after="0" w:line="240" w:lineRule="auto"/>
              <w:ind w:firstLine="595"/>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val="en-US" w:eastAsia="zh-CN"/>
              </w:rPr>
              <w:t>3</w:t>
            </w:r>
            <w:r>
              <w:rPr>
                <w:rFonts w:hint="eastAsia" w:ascii="Times New Roman" w:hAnsi="Times New Roman" w:eastAsia="仿宋" w:cs="Times New Roman"/>
                <w:color w:val="000000"/>
                <w:sz w:val="28"/>
                <w:szCs w:val="28"/>
                <w:lang w:eastAsia="zh-CN"/>
              </w:rPr>
              <w:t>. 标准版本迭代与存量整改技术支撑不足：缺少标准版本溯源、变更联动及兼容适配机制，存量历史数据标准整改依赖人工处理，难以支撑全域数据标准规模化迭代治理。</w:t>
            </w:r>
          </w:p>
          <w:p w14:paraId="593083B0">
            <w:pPr>
              <w:spacing w:after="0" w:line="240" w:lineRule="auto"/>
              <w:ind w:firstLine="595"/>
              <w:jc w:val="both"/>
              <w:rPr>
                <w:rFonts w:hint="eastAsia"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4.金融监管政策（如偿二代、个人信息保护法、数据安全法、保险监管统计制度）更新频繁，数据标准需快速响应监管口径变化。现有体系依赖人工解读政策文档并逐条映射到字段标准，响应周期长（通常数月），难以实现"政策发布→标准更新→系统改造"的敏捷闭环。</w:t>
            </w:r>
          </w:p>
          <w:p w14:paraId="7EBF17EB">
            <w:pPr>
              <w:spacing w:after="0" w:line="240" w:lineRule="auto"/>
              <w:ind w:firstLine="595"/>
              <w:jc w:val="both"/>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5.现有通用大模型参数规模达百亿至千亿级，在寿险数据标准治理场景中存在</w:t>
            </w:r>
            <w:r>
              <w:rPr>
                <w:rFonts w:hint="default" w:ascii="Times New Roman" w:hAnsi="Times New Roman" w:eastAsia="仿宋" w:cs="Times New Roman"/>
                <w:color w:val="000000"/>
                <w:sz w:val="28"/>
                <w:szCs w:val="28"/>
                <w:lang w:val="en-US" w:eastAsia="zh-CN"/>
              </w:rPr>
              <w:t>能力冗余与成本失控问题：</w:t>
            </w:r>
            <w:r>
              <w:rPr>
                <w:rFonts w:hint="eastAsia" w:ascii="Times New Roman" w:hAnsi="Times New Roman" w:eastAsia="仿宋" w:cs="Times New Roman"/>
                <w:color w:val="000000"/>
                <w:sz w:val="28"/>
                <w:szCs w:val="28"/>
                <w:lang w:val="en-US" w:eastAsia="zh-CN"/>
              </w:rPr>
              <w:t>大尺寸模型本地私有化部署成本高</w:t>
            </w:r>
            <w:r>
              <w:rPr>
                <w:rFonts w:hint="default" w:ascii="Times New Roman" w:hAnsi="Times New Roman" w:eastAsia="仿宋" w:cs="Times New Roman"/>
                <w:color w:val="000000"/>
                <w:sz w:val="28"/>
                <w:szCs w:val="28"/>
                <w:lang w:val="en-US" w:eastAsia="zh-CN"/>
              </w:rPr>
              <w:t>；字段级实时校验、交互式标准查询等场景需毫秒级响应，而通用大模型延迟通常在秒级甚至十秒级，无法满足时效要求；同时，通用大模型缺乏寿险精算、核保理赔、监管报送等专业领域深度知识，易生成不符合行业规范的"幻觉"内容。</w:t>
            </w:r>
          </w:p>
          <w:p w14:paraId="0C44899F">
            <w:pPr>
              <w:spacing w:after="0" w:line="240" w:lineRule="auto"/>
              <w:ind w:firstLine="595"/>
              <w:jc w:val="both"/>
              <w:rPr>
                <w:rFonts w:ascii="Times New Roman" w:hAnsi="Times New Roman" w:eastAsia="仿宋" w:cs="Times New Roman"/>
                <w:color w:val="000000"/>
                <w:sz w:val="28"/>
                <w:szCs w:val="28"/>
                <w:lang w:eastAsia="zh-CN"/>
              </w:rPr>
            </w:pPr>
          </w:p>
        </w:tc>
      </w:tr>
      <w:tr w14:paraId="578FC9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50D89DE8">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攻关任务描述</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针对每一个技术攻关问题，明确需完成的具体任务及成果形式</w:t>
            </w:r>
            <w:r>
              <w:rPr>
                <w:rFonts w:ascii="Times New Roman" w:hAnsi="Times New Roman" w:eastAsia="仿宋" w:cs="Times New Roman"/>
                <w:color w:val="000000"/>
                <w:sz w:val="28"/>
                <w:szCs w:val="28"/>
                <w:lang w:eastAsia="zh-CN"/>
              </w:rPr>
              <w:t>）</w:t>
            </w:r>
          </w:p>
          <w:p w14:paraId="16F60B8C">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1. 针对多源异构数据标准适配难问题：构建寿险多域数据标准智能映射模型，梳理各系统字段语义，开发自动对标工具，成果为数据标准智能映射算法及适配工具，实现跨域数据标准自动匹配。</w:t>
            </w:r>
          </w:p>
          <w:p w14:paraId="0EAE98B0">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2. 针对标准全链路落地管控缺失问题：设计标准全链路穿透机制，开发源系统校验、数仓稽核模块，成果为标准落地管控组件，实现标准从源头到应用层的全流程校验与闭环管理。</w:t>
            </w:r>
          </w:p>
          <w:p w14:paraId="2E086C62">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3. 针对标准迭代与存量整改支撑不足问题：搭建标准版本管理与溯源</w:t>
            </w:r>
            <w:r>
              <w:rPr>
                <w:rFonts w:hint="eastAsia" w:ascii="Times New Roman" w:hAnsi="Times New Roman" w:eastAsia="仿宋" w:cs="Times New Roman"/>
                <w:color w:val="000000"/>
                <w:sz w:val="28"/>
                <w:szCs w:val="28"/>
                <w:lang w:val="en-US" w:eastAsia="zh-CN"/>
              </w:rPr>
              <w:t>工具</w:t>
            </w:r>
            <w:r>
              <w:rPr>
                <w:rFonts w:hint="eastAsia" w:ascii="Times New Roman" w:hAnsi="Times New Roman" w:eastAsia="仿宋" w:cs="Times New Roman"/>
                <w:color w:val="000000"/>
                <w:sz w:val="28"/>
                <w:szCs w:val="28"/>
                <w:lang w:eastAsia="zh-CN"/>
              </w:rPr>
              <w:t>，开发存量数据批量整改工具，成果为版本管控平台及整改工具，支撑标准迭代联动与存量数据规模化整改。</w:t>
            </w:r>
          </w:p>
          <w:p w14:paraId="59A36DBB">
            <w:pPr>
              <w:spacing w:after="0" w:line="240" w:lineRule="auto"/>
              <w:ind w:firstLine="560" w:firstLineChars="200"/>
              <w:jc w:val="both"/>
              <w:rPr>
                <w:rFonts w:hint="default" w:ascii="Times New Roman" w:hAnsi="Times New Roman" w:eastAsia="仿宋" w:cs="Times New Roman"/>
                <w:color w:val="000000"/>
                <w:sz w:val="28"/>
                <w:szCs w:val="28"/>
                <w:lang w:eastAsia="zh-CN"/>
              </w:rPr>
            </w:pPr>
            <w:r>
              <w:rPr>
                <w:rFonts w:hint="default" w:ascii="Times New Roman" w:hAnsi="Times New Roman" w:eastAsia="仿宋" w:cs="Times New Roman"/>
                <w:color w:val="000000"/>
                <w:sz w:val="28"/>
                <w:szCs w:val="28"/>
                <w:lang w:eastAsia="zh-CN"/>
              </w:rPr>
              <w:t>4</w:t>
            </w:r>
            <w:r>
              <w:rPr>
                <w:rFonts w:hint="eastAsia" w:ascii="Times New Roman" w:hAnsi="Times New Roman" w:eastAsia="仿宋" w:cs="Times New Roman"/>
                <w:color w:val="000000"/>
                <w:sz w:val="28"/>
                <w:szCs w:val="28"/>
                <w:lang w:val="en-US" w:eastAsia="zh-CN"/>
              </w:rPr>
              <w:t>.</w:t>
            </w:r>
            <w:r>
              <w:rPr>
                <w:rFonts w:hint="default" w:ascii="Times New Roman" w:hAnsi="Times New Roman" w:eastAsia="仿宋" w:cs="Times New Roman"/>
                <w:color w:val="000000"/>
                <w:sz w:val="28"/>
                <w:szCs w:val="28"/>
                <w:lang w:eastAsia="zh-CN"/>
              </w:rPr>
              <w:t>监管合规智能适配</w:t>
            </w:r>
            <w:r>
              <w:rPr>
                <w:rFonts w:hint="eastAsia" w:ascii="Times New Roman" w:hAnsi="Times New Roman" w:eastAsia="仿宋" w:cs="Times New Roman"/>
                <w:color w:val="000000"/>
                <w:sz w:val="28"/>
                <w:szCs w:val="28"/>
                <w:lang w:val="en-US" w:eastAsia="zh-CN"/>
              </w:rPr>
              <w:t>大模型应用：</w:t>
            </w:r>
            <w:r>
              <w:rPr>
                <w:rFonts w:hint="default" w:ascii="Times New Roman" w:hAnsi="Times New Roman" w:eastAsia="仿宋" w:cs="Times New Roman"/>
                <w:color w:val="000000"/>
                <w:sz w:val="28"/>
                <w:szCs w:val="28"/>
                <w:lang w:val="en-US" w:eastAsia="zh-CN"/>
              </w:rPr>
              <w:t>构建监管政策知识库：将银保监会/金融监管总局发布的制度文件、统计口径、报送规范向量化存储</w:t>
            </w:r>
            <w:r>
              <w:rPr>
                <w:rFonts w:hint="eastAsia" w:ascii="Times New Roman" w:hAnsi="Times New Roman" w:eastAsia="仿宋" w:cs="Times New Roman"/>
                <w:color w:val="000000"/>
                <w:sz w:val="28"/>
                <w:szCs w:val="28"/>
                <w:lang w:eastAsia="zh-CN"/>
              </w:rPr>
              <w:t>，</w:t>
            </w:r>
            <w:r>
              <w:rPr>
                <w:rFonts w:hint="default" w:ascii="Times New Roman" w:hAnsi="Times New Roman" w:eastAsia="仿宋" w:cs="Times New Roman"/>
                <w:color w:val="000000"/>
                <w:sz w:val="28"/>
                <w:szCs w:val="28"/>
                <w:lang w:val="en-US" w:eastAsia="zh-CN"/>
              </w:rPr>
              <w:t>开发政策解读</w:t>
            </w:r>
            <w:r>
              <w:rPr>
                <w:rFonts w:hint="eastAsia" w:ascii="Times New Roman" w:hAnsi="Times New Roman" w:eastAsia="仿宋" w:cs="Times New Roman"/>
                <w:color w:val="000000"/>
                <w:sz w:val="28"/>
                <w:szCs w:val="28"/>
                <w:lang w:val="en-US" w:eastAsia="zh-CN"/>
              </w:rPr>
              <w:t>工具</w:t>
            </w:r>
            <w:r>
              <w:rPr>
                <w:rFonts w:hint="default" w:ascii="Times New Roman" w:hAnsi="Times New Roman" w:eastAsia="仿宋" w:cs="Times New Roman"/>
                <w:color w:val="000000"/>
                <w:sz w:val="28"/>
                <w:szCs w:val="28"/>
                <w:lang w:val="en-US" w:eastAsia="zh-CN"/>
              </w:rPr>
              <w:t>：自动解析新发布监管文件，提取与数据标准相关的变更点（如新增报送字段、调整口径定义），生成"政策→标准→系统"的变更影响报告</w:t>
            </w:r>
            <w:r>
              <w:rPr>
                <w:rFonts w:hint="eastAsia" w:ascii="Times New Roman" w:hAnsi="Times New Roman" w:eastAsia="仿宋" w:cs="Times New Roman"/>
                <w:color w:val="000000"/>
                <w:sz w:val="28"/>
                <w:szCs w:val="28"/>
                <w:lang w:val="en-US" w:eastAsia="zh-CN"/>
              </w:rPr>
              <w:t>，</w:t>
            </w:r>
            <w:r>
              <w:rPr>
                <w:rFonts w:hint="default" w:ascii="Times New Roman" w:hAnsi="Times New Roman" w:eastAsia="仿宋" w:cs="Times New Roman"/>
                <w:color w:val="000000"/>
                <w:sz w:val="28"/>
                <w:szCs w:val="28"/>
                <w:lang w:val="en-US" w:eastAsia="zh-CN"/>
              </w:rPr>
              <w:t>与标准版本管理模块联动，自动生成标准变更建议与存量数据整改方案</w:t>
            </w:r>
          </w:p>
          <w:p w14:paraId="288C26D9">
            <w:pPr>
              <w:spacing w:after="0" w:line="240" w:lineRule="auto"/>
              <w:jc w:val="both"/>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 xml:space="preserve">    5.</w:t>
            </w:r>
            <w:r>
              <w:rPr>
                <w:rFonts w:hint="default" w:ascii="Times New Roman" w:hAnsi="Times New Roman" w:eastAsia="仿宋" w:cs="Times New Roman"/>
                <w:color w:val="000000"/>
                <w:sz w:val="28"/>
                <w:szCs w:val="28"/>
                <w:lang w:eastAsia="zh-CN"/>
              </w:rPr>
              <w:t>针对通用大模型在寿险数据治理场景下能力冗余与成本失控的痛点，本项目将基于模型压缩与领域持续预训练技术，以开源轻量化基座模型为基础，整合寿险行业标准字段、标准代码、监管制度文件及业务术语表构建高质量领域语料库，通过量化、压缩算法与推理引擎优化，研发参数规模控制在</w:t>
            </w:r>
            <w:r>
              <w:rPr>
                <w:rFonts w:hint="eastAsia" w:ascii="Times New Roman" w:hAnsi="Times New Roman" w:eastAsia="仿宋" w:cs="Times New Roman"/>
                <w:color w:val="000000"/>
                <w:sz w:val="28"/>
                <w:szCs w:val="28"/>
                <w:lang w:val="en-US" w:eastAsia="zh-CN"/>
              </w:rPr>
              <w:t>200</w:t>
            </w:r>
            <w:r>
              <w:rPr>
                <w:rFonts w:hint="default" w:ascii="Times New Roman" w:hAnsi="Times New Roman" w:eastAsia="仿宋" w:cs="Times New Roman"/>
                <w:color w:val="000000"/>
                <w:sz w:val="28"/>
                <w:szCs w:val="28"/>
                <w:lang w:eastAsia="zh-CN"/>
              </w:rPr>
              <w:t>B</w:t>
            </w:r>
            <w:r>
              <w:rPr>
                <w:rFonts w:hint="eastAsia" w:ascii="Times New Roman" w:hAnsi="Times New Roman" w:eastAsia="仿宋" w:cs="Times New Roman"/>
                <w:color w:val="000000"/>
                <w:sz w:val="28"/>
                <w:szCs w:val="28"/>
                <w:lang w:val="en-US" w:eastAsia="zh-CN"/>
              </w:rPr>
              <w:t>以下</w:t>
            </w:r>
            <w:r>
              <w:rPr>
                <w:rFonts w:hint="default" w:ascii="Times New Roman" w:hAnsi="Times New Roman" w:eastAsia="仿宋" w:cs="Times New Roman"/>
                <w:color w:val="000000"/>
                <w:sz w:val="28"/>
                <w:szCs w:val="28"/>
                <w:lang w:eastAsia="zh-CN"/>
              </w:rPr>
              <w:t>级别的寿险数据标准专用轻量化大模型；</w:t>
            </w:r>
            <w:r>
              <w:rPr>
                <w:rFonts w:hint="eastAsia" w:ascii="Times New Roman" w:hAnsi="Times New Roman" w:eastAsia="仿宋" w:cs="Times New Roman"/>
                <w:color w:val="000000"/>
                <w:sz w:val="28"/>
                <w:szCs w:val="28"/>
                <w:lang w:val="en-US" w:eastAsia="zh-CN"/>
              </w:rPr>
              <w:t>提升</w:t>
            </w:r>
            <w:r>
              <w:rPr>
                <w:rFonts w:hint="default" w:ascii="Times New Roman" w:hAnsi="Times New Roman" w:eastAsia="仿宋" w:cs="Times New Roman"/>
                <w:color w:val="000000"/>
                <w:sz w:val="28"/>
                <w:szCs w:val="28"/>
                <w:lang w:eastAsia="zh-CN"/>
              </w:rPr>
              <w:t>使领域任务</w:t>
            </w:r>
            <w:r>
              <w:rPr>
                <w:rFonts w:hint="eastAsia" w:ascii="Times New Roman" w:hAnsi="Times New Roman" w:eastAsia="仿宋" w:cs="Times New Roman"/>
                <w:color w:val="000000"/>
                <w:sz w:val="28"/>
                <w:szCs w:val="28"/>
                <w:lang w:val="en-US" w:eastAsia="zh-CN"/>
              </w:rPr>
              <w:t>准确率，</w:t>
            </w:r>
            <w:r>
              <w:rPr>
                <w:rFonts w:hint="default" w:ascii="Times New Roman" w:hAnsi="Times New Roman" w:eastAsia="仿宋" w:cs="Times New Roman"/>
                <w:color w:val="000000"/>
                <w:sz w:val="28"/>
                <w:szCs w:val="28"/>
                <w:lang w:eastAsia="zh-CN"/>
              </w:rPr>
              <w:t>同时，推理成本降低以上、响应延迟控制在500ms以内。</w:t>
            </w:r>
          </w:p>
          <w:p w14:paraId="089D0E2F">
            <w:pPr>
              <w:spacing w:after="0" w:line="240" w:lineRule="auto"/>
              <w:jc w:val="both"/>
              <w:rPr>
                <w:rFonts w:ascii="Times New Roman" w:hAnsi="Times New Roman" w:eastAsia="仿宋" w:cs="Times New Roman"/>
                <w:color w:val="000000"/>
                <w:sz w:val="28"/>
                <w:szCs w:val="28"/>
                <w:lang w:eastAsia="zh-CN"/>
              </w:rPr>
            </w:pPr>
          </w:p>
        </w:tc>
      </w:tr>
      <w:tr w14:paraId="308392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532CFDF0">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现有基础</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命题单位针对技术攻关难点和攻关任务，已开展的研究工作或验证尝试及效果</w:t>
            </w:r>
            <w:r>
              <w:rPr>
                <w:rFonts w:ascii="Times New Roman" w:hAnsi="Times New Roman" w:eastAsia="仿宋" w:cs="Times New Roman"/>
                <w:color w:val="000000"/>
                <w:sz w:val="28"/>
                <w:szCs w:val="28"/>
                <w:lang w:eastAsia="zh-CN"/>
              </w:rPr>
              <w:t>）</w:t>
            </w:r>
          </w:p>
          <w:p w14:paraId="6858DF75">
            <w:pPr>
              <w:spacing w:after="0" w:line="240" w:lineRule="auto"/>
              <w:ind w:firstLine="595"/>
              <w:jc w:val="both"/>
              <w:rPr>
                <w:rFonts w:hint="eastAsia"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目前公司主要使用Orale、Mysql、</w:t>
            </w:r>
            <w:r>
              <w:rPr>
                <w:rFonts w:hint="eastAsia" w:ascii="Times New Roman" w:hAnsi="Times New Roman" w:eastAsia="仿宋" w:cs="Times New Roman"/>
                <w:color w:val="000000"/>
                <w:sz w:val="28"/>
                <w:szCs w:val="28"/>
                <w:lang w:eastAsia="zh-CN"/>
              </w:rPr>
              <w:t>PostgreSQL、</w:t>
            </w:r>
            <w:r>
              <w:rPr>
                <w:rFonts w:hint="eastAsia" w:ascii="Times New Roman" w:hAnsi="Times New Roman" w:eastAsia="仿宋" w:cs="Times New Roman"/>
                <w:color w:val="000000"/>
                <w:sz w:val="28"/>
                <w:szCs w:val="28"/>
                <w:lang w:val="en-US" w:eastAsia="zh-CN"/>
              </w:rPr>
              <w:t>Gbase、达梦等数据库，使用阿里的ODPS作为离线数据仓库、</w:t>
            </w:r>
            <w:r>
              <w:rPr>
                <w:rFonts w:hint="eastAsia" w:ascii="Times New Roman" w:hAnsi="Times New Roman" w:eastAsia="仿宋" w:cs="Times New Roman"/>
                <w:color w:val="000000"/>
                <w:sz w:val="28"/>
                <w:szCs w:val="28"/>
                <w:lang w:eastAsia="zh-CN"/>
              </w:rPr>
              <w:t>Hologres</w:t>
            </w:r>
            <w:r>
              <w:rPr>
                <w:rFonts w:hint="eastAsia" w:ascii="Times New Roman" w:hAnsi="Times New Roman" w:eastAsia="仿宋" w:cs="Times New Roman"/>
                <w:color w:val="000000"/>
                <w:sz w:val="28"/>
                <w:szCs w:val="28"/>
                <w:lang w:val="en-US" w:eastAsia="zh-CN"/>
              </w:rPr>
              <w:t>作为实时数据仓库。平台至少支持以上全部数据库。</w:t>
            </w:r>
          </w:p>
          <w:p w14:paraId="0E8A181E">
            <w:pPr>
              <w:spacing w:after="0" w:line="240" w:lineRule="auto"/>
              <w:ind w:firstLine="595"/>
              <w:jc w:val="both"/>
              <w:rPr>
                <w:rFonts w:hint="eastAsia"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公司应用系统的开发主要使用Springboot技术栈。</w:t>
            </w:r>
          </w:p>
          <w:p w14:paraId="1F975A0E">
            <w:pPr>
              <w:spacing w:after="0" w:line="240" w:lineRule="auto"/>
              <w:ind w:firstLine="595"/>
              <w:jc w:val="both"/>
              <w:rPr>
                <w:rFonts w:hint="eastAsia"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公司数据仓库共有8000多张表，28万个字段，配置的质量规则1000多个，梳理的标准字段2300多个，标准代码80多个。</w:t>
            </w:r>
          </w:p>
          <w:p w14:paraId="2C7B7540">
            <w:pPr>
              <w:spacing w:after="0" w:line="240" w:lineRule="auto"/>
              <w:ind w:firstLine="595"/>
              <w:jc w:val="both"/>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监管提供的EAST2.0报送标准文档。</w:t>
            </w:r>
          </w:p>
          <w:p w14:paraId="78C4C0C2">
            <w:pPr>
              <w:spacing w:after="0" w:line="240" w:lineRule="auto"/>
              <w:jc w:val="both"/>
              <w:rPr>
                <w:rFonts w:ascii="Times New Roman" w:hAnsi="Times New Roman" w:eastAsia="仿宋" w:cs="Times New Roman"/>
                <w:color w:val="000000"/>
                <w:sz w:val="28"/>
                <w:szCs w:val="28"/>
                <w:lang w:eastAsia="zh-CN"/>
              </w:rPr>
            </w:pPr>
          </w:p>
        </w:tc>
      </w:tr>
      <w:tr w14:paraId="735A1F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5BE0A766">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任务目标</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技术攻关的总体目标、量化技术指标及具体成果交付形式</w:t>
            </w:r>
            <w:r>
              <w:rPr>
                <w:rFonts w:ascii="Times New Roman" w:hAnsi="Times New Roman" w:eastAsia="仿宋" w:cs="Times New Roman"/>
                <w:color w:val="000000"/>
                <w:sz w:val="28"/>
                <w:szCs w:val="28"/>
                <w:lang w:eastAsia="zh-CN"/>
              </w:rPr>
              <w:t>）</w:t>
            </w:r>
          </w:p>
          <w:p w14:paraId="7F2C64C5">
            <w:pPr>
              <w:spacing w:after="0" w:line="240" w:lineRule="auto"/>
              <w:ind w:firstLine="595"/>
              <w:jc w:val="both"/>
              <w:rPr>
                <w:rFonts w:hint="eastAsia"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总体目标：构建响应快速，轻量化的数据治理平台。</w:t>
            </w:r>
          </w:p>
          <w:p w14:paraId="4BD3BDAC">
            <w:pPr>
              <w:spacing w:after="0" w:line="240" w:lineRule="auto"/>
              <w:ind w:firstLine="595"/>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val="en-US" w:eastAsia="zh-CN"/>
              </w:rPr>
              <w:t>具体功能：</w:t>
            </w:r>
          </w:p>
          <w:p w14:paraId="7A6E18C8">
            <w:pPr>
              <w:numPr>
                <w:ilvl w:val="0"/>
                <w:numId w:val="0"/>
              </w:numPr>
              <w:spacing w:after="0" w:line="240" w:lineRule="auto"/>
              <w:ind w:firstLine="595" w:firstLineChars="0"/>
              <w:jc w:val="both"/>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eastAsia="zh-CN"/>
              </w:rPr>
              <w:t>1. 搭建数据标准体系与智能对标引擎，实现标准批量管理、元数据与标准自动匹配、自动校验。</w:t>
            </w:r>
          </w:p>
          <w:p w14:paraId="3AB23073">
            <w:pPr>
              <w:numPr>
                <w:ilvl w:val="0"/>
                <w:numId w:val="0"/>
              </w:numPr>
              <w:spacing w:after="0" w:line="240" w:lineRule="auto"/>
              <w:ind w:firstLine="595" w:firstLineChars="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val="en-US" w:eastAsia="zh-CN"/>
              </w:rPr>
              <w:t>2</w:t>
            </w:r>
            <w:r>
              <w:rPr>
                <w:rFonts w:hint="eastAsia" w:ascii="Times New Roman" w:hAnsi="Times New Roman" w:eastAsia="仿宋" w:cs="Times New Roman"/>
                <w:color w:val="000000"/>
                <w:sz w:val="28"/>
                <w:szCs w:val="28"/>
                <w:lang w:eastAsia="zh-CN"/>
              </w:rPr>
              <w:t xml:space="preserve">. </w:t>
            </w:r>
            <w:r>
              <w:rPr>
                <w:rFonts w:hint="eastAsia" w:ascii="Times New Roman" w:hAnsi="Times New Roman" w:eastAsia="仿宋" w:cs="Times New Roman"/>
                <w:color w:val="000000"/>
                <w:sz w:val="28"/>
                <w:szCs w:val="28"/>
                <w:lang w:val="en-US" w:eastAsia="zh-CN"/>
              </w:rPr>
              <w:t>对缺失的字段标准，系统能够进行总结归纳，自动生成合理的字段标准。</w:t>
            </w:r>
          </w:p>
          <w:p w14:paraId="6849913A">
            <w:pPr>
              <w:numPr>
                <w:ilvl w:val="0"/>
                <w:numId w:val="0"/>
              </w:numPr>
              <w:spacing w:after="0" w:line="240" w:lineRule="auto"/>
              <w:ind w:firstLine="595" w:firstLineChars="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val="en-US" w:eastAsia="zh-CN"/>
              </w:rPr>
              <w:t>3</w:t>
            </w:r>
            <w:r>
              <w:rPr>
                <w:rFonts w:hint="eastAsia" w:ascii="Times New Roman" w:hAnsi="Times New Roman" w:eastAsia="仿宋" w:cs="Times New Roman"/>
                <w:color w:val="000000"/>
                <w:sz w:val="28"/>
                <w:szCs w:val="28"/>
                <w:lang w:eastAsia="zh-CN"/>
              </w:rPr>
              <w:t>. 不仅支持历史存量数据标准扫描，还能够支持增量表、字段、数据的标准校验。</w:t>
            </w:r>
          </w:p>
          <w:p w14:paraId="15353E81">
            <w:pPr>
              <w:numPr>
                <w:ilvl w:val="0"/>
                <w:numId w:val="0"/>
              </w:numPr>
              <w:spacing w:after="0" w:line="240" w:lineRule="auto"/>
              <w:ind w:firstLine="595" w:firstLineChars="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val="en-US" w:eastAsia="zh-CN"/>
              </w:rPr>
              <w:t>4</w:t>
            </w:r>
            <w:r>
              <w:rPr>
                <w:rFonts w:hint="eastAsia" w:ascii="Times New Roman" w:hAnsi="Times New Roman" w:eastAsia="仿宋" w:cs="Times New Roman"/>
                <w:color w:val="000000"/>
                <w:sz w:val="28"/>
                <w:szCs w:val="28"/>
                <w:lang w:eastAsia="zh-CN"/>
              </w:rPr>
              <w:t>. 完成标准覆盖率统计与落地闭环。</w:t>
            </w:r>
          </w:p>
          <w:p w14:paraId="180AAFDD">
            <w:pPr>
              <w:numPr>
                <w:ilvl w:val="0"/>
                <w:numId w:val="0"/>
              </w:numPr>
              <w:spacing w:after="0" w:line="240" w:lineRule="auto"/>
              <w:ind w:firstLine="595" w:firstLineChars="0"/>
              <w:jc w:val="both"/>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5. 训练并提供小尺寸专属模型，提供性能、准确度测试报告。</w:t>
            </w:r>
          </w:p>
          <w:p w14:paraId="029423BC">
            <w:pPr>
              <w:spacing w:after="0" w:line="240" w:lineRule="auto"/>
              <w:ind w:firstLine="595"/>
              <w:jc w:val="both"/>
              <w:rPr>
                <w:rFonts w:hint="eastAsia"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最终交付：</w:t>
            </w:r>
          </w:p>
          <w:p w14:paraId="613688DA">
            <w:pPr>
              <w:numPr>
                <w:ilvl w:val="0"/>
                <w:numId w:val="0"/>
              </w:numPr>
              <w:spacing w:after="0" w:line="240" w:lineRule="auto"/>
              <w:ind w:firstLine="595" w:firstLineChars="0"/>
              <w:jc w:val="both"/>
              <w:rPr>
                <w:rFonts w:hint="eastAsia"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eastAsia="zh-CN"/>
              </w:rPr>
              <w:t xml:space="preserve">1. </w:t>
            </w:r>
            <w:r>
              <w:rPr>
                <w:rFonts w:hint="eastAsia" w:ascii="Times New Roman" w:hAnsi="Times New Roman" w:eastAsia="仿宋" w:cs="Times New Roman"/>
                <w:color w:val="000000"/>
                <w:sz w:val="28"/>
                <w:szCs w:val="28"/>
                <w:lang w:val="en-US" w:eastAsia="zh-CN"/>
              </w:rPr>
              <w:t>可运行的数据标准平台，交付源代码和设计文档。</w:t>
            </w:r>
          </w:p>
          <w:p w14:paraId="31EDE43D">
            <w:pPr>
              <w:numPr>
                <w:ilvl w:val="0"/>
                <w:numId w:val="0"/>
              </w:numPr>
              <w:spacing w:after="0" w:line="240" w:lineRule="auto"/>
              <w:ind w:firstLine="595" w:firstLineChars="0"/>
              <w:jc w:val="both"/>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2</w:t>
            </w:r>
            <w:r>
              <w:rPr>
                <w:rFonts w:hint="eastAsia" w:ascii="Times New Roman" w:hAnsi="Times New Roman" w:eastAsia="仿宋" w:cs="Times New Roman"/>
                <w:color w:val="000000"/>
                <w:sz w:val="28"/>
                <w:szCs w:val="28"/>
                <w:lang w:eastAsia="zh-CN"/>
              </w:rPr>
              <w:t xml:space="preserve">. </w:t>
            </w:r>
            <w:r>
              <w:rPr>
                <w:rFonts w:hint="eastAsia" w:ascii="Times New Roman" w:hAnsi="Times New Roman" w:eastAsia="仿宋" w:cs="Times New Roman"/>
                <w:color w:val="000000"/>
                <w:sz w:val="28"/>
                <w:szCs w:val="28"/>
                <w:lang w:val="en-US" w:eastAsia="zh-CN"/>
              </w:rPr>
              <w:t>针对提供的数据分类分级标准和字段信息，自动对字段进行分类分级，并形成分类分级报告。</w:t>
            </w:r>
          </w:p>
          <w:p w14:paraId="22B4084B">
            <w:pPr>
              <w:numPr>
                <w:ilvl w:val="0"/>
                <w:numId w:val="0"/>
              </w:numPr>
              <w:spacing w:after="0" w:line="240" w:lineRule="auto"/>
              <w:ind w:firstLine="595" w:firstLineChars="0"/>
              <w:jc w:val="both"/>
              <w:rPr>
                <w:rFonts w:hint="eastAsia"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3</w:t>
            </w:r>
            <w:r>
              <w:rPr>
                <w:rFonts w:hint="eastAsia" w:ascii="Times New Roman" w:hAnsi="Times New Roman" w:eastAsia="仿宋" w:cs="Times New Roman"/>
                <w:color w:val="000000"/>
                <w:sz w:val="28"/>
                <w:szCs w:val="28"/>
                <w:lang w:eastAsia="zh-CN"/>
              </w:rPr>
              <w:t xml:space="preserve">. </w:t>
            </w:r>
            <w:r>
              <w:rPr>
                <w:rFonts w:hint="eastAsia" w:ascii="Times New Roman" w:hAnsi="Times New Roman" w:eastAsia="仿宋" w:cs="Times New Roman"/>
                <w:color w:val="000000"/>
                <w:sz w:val="28"/>
                <w:szCs w:val="28"/>
                <w:lang w:val="en-US" w:eastAsia="zh-CN"/>
              </w:rPr>
              <w:t>根据已有字段和以有字段标准，自动补充缺失的字段标准，说明补充规则和依据，生成字段标准报告。</w:t>
            </w:r>
          </w:p>
          <w:p w14:paraId="27CC1106">
            <w:pPr>
              <w:numPr>
                <w:ilvl w:val="0"/>
                <w:numId w:val="0"/>
              </w:numPr>
              <w:spacing w:after="0" w:line="240" w:lineRule="auto"/>
              <w:ind w:firstLine="595" w:firstLineChars="0"/>
              <w:jc w:val="both"/>
              <w:rPr>
                <w:rFonts w:hint="eastAsia"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4. 系统可定期生成数据标准分析报告，提供标准汇总、标准说明、标准变更等主要内容</w:t>
            </w:r>
            <w:bookmarkStart w:id="0" w:name="_GoBack"/>
            <w:bookmarkEnd w:id="0"/>
            <w:r>
              <w:rPr>
                <w:rFonts w:hint="eastAsia" w:ascii="Times New Roman" w:hAnsi="Times New Roman" w:eastAsia="仿宋" w:cs="Times New Roman"/>
                <w:color w:val="000000"/>
                <w:sz w:val="28"/>
                <w:szCs w:val="28"/>
                <w:lang w:val="en-US" w:eastAsia="zh-CN"/>
              </w:rPr>
              <w:t>。</w:t>
            </w:r>
          </w:p>
          <w:p w14:paraId="46A10072">
            <w:pPr>
              <w:numPr>
                <w:ilvl w:val="0"/>
                <w:numId w:val="0"/>
              </w:numPr>
              <w:spacing w:after="0" w:line="240" w:lineRule="auto"/>
              <w:ind w:firstLine="595" w:firstLineChars="0"/>
              <w:jc w:val="both"/>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5. 可国产化硬件部署的小尺寸保险行业模型。</w:t>
            </w:r>
          </w:p>
          <w:p w14:paraId="47740E03">
            <w:pPr>
              <w:spacing w:after="0" w:line="240" w:lineRule="auto"/>
              <w:ind w:firstLine="595"/>
              <w:jc w:val="both"/>
              <w:rPr>
                <w:rFonts w:ascii="Times New Roman" w:hAnsi="Times New Roman" w:eastAsia="仿宋" w:cs="Times New Roman"/>
                <w:color w:val="000000"/>
                <w:sz w:val="28"/>
                <w:szCs w:val="28"/>
                <w:lang w:eastAsia="zh-CN"/>
              </w:rPr>
            </w:pPr>
          </w:p>
        </w:tc>
      </w:tr>
      <w:tr w14:paraId="115394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3C347BF6">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数据集描述</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赛题配套数据集的核心信息，清晰说明数据相关属性及配套要求</w:t>
            </w:r>
            <w:r>
              <w:rPr>
                <w:rFonts w:ascii="Times New Roman" w:hAnsi="Times New Roman" w:eastAsia="仿宋" w:cs="Times New Roman"/>
                <w:color w:val="000000"/>
                <w:sz w:val="28"/>
                <w:szCs w:val="28"/>
                <w:lang w:eastAsia="zh-CN"/>
              </w:rPr>
              <w:t>）</w:t>
            </w:r>
          </w:p>
          <w:p w14:paraId="404E0B80">
            <w:pPr>
              <w:numPr>
                <w:ilvl w:val="0"/>
                <w:numId w:val="0"/>
              </w:numPr>
              <w:spacing w:after="0" w:line="240" w:lineRule="auto"/>
              <w:ind w:firstLine="595" w:firstLineChars="0"/>
              <w:jc w:val="both"/>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eastAsia="zh-CN"/>
              </w:rPr>
              <w:t xml:space="preserve">1. </w:t>
            </w:r>
            <w:r>
              <w:rPr>
                <w:rFonts w:hint="eastAsia" w:ascii="Times New Roman" w:hAnsi="Times New Roman" w:eastAsia="仿宋" w:cs="Times New Roman"/>
                <w:color w:val="000000"/>
                <w:sz w:val="28"/>
                <w:szCs w:val="28"/>
                <w:lang w:val="en-US" w:eastAsia="zh-CN"/>
              </w:rPr>
              <w:t>命名词典</w:t>
            </w:r>
          </w:p>
          <w:p w14:paraId="0A07E5AC">
            <w:pPr>
              <w:numPr>
                <w:ilvl w:val="0"/>
                <w:numId w:val="0"/>
              </w:numPr>
              <w:spacing w:after="0" w:line="240" w:lineRule="auto"/>
              <w:ind w:firstLine="595" w:firstLineChars="0"/>
              <w:jc w:val="both"/>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2</w:t>
            </w:r>
            <w:r>
              <w:rPr>
                <w:rFonts w:hint="eastAsia" w:ascii="Times New Roman" w:hAnsi="Times New Roman" w:eastAsia="仿宋" w:cs="Times New Roman"/>
                <w:color w:val="000000"/>
                <w:sz w:val="28"/>
                <w:szCs w:val="28"/>
                <w:lang w:eastAsia="zh-CN"/>
              </w:rPr>
              <w:t xml:space="preserve">. </w:t>
            </w:r>
            <w:r>
              <w:rPr>
                <w:rFonts w:hint="eastAsia" w:ascii="Times New Roman" w:hAnsi="Times New Roman" w:eastAsia="仿宋" w:cs="Times New Roman"/>
                <w:color w:val="000000"/>
                <w:sz w:val="28"/>
                <w:szCs w:val="28"/>
                <w:lang w:val="en-US" w:eastAsia="zh-CN"/>
              </w:rPr>
              <w:t>已有的字段标准清单</w:t>
            </w:r>
          </w:p>
          <w:p w14:paraId="387F7342">
            <w:pPr>
              <w:numPr>
                <w:ilvl w:val="0"/>
                <w:numId w:val="0"/>
              </w:numPr>
              <w:spacing w:after="0" w:line="240" w:lineRule="auto"/>
              <w:ind w:firstLine="595" w:firstLineChars="0"/>
              <w:jc w:val="both"/>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3</w:t>
            </w:r>
            <w:r>
              <w:rPr>
                <w:rFonts w:hint="eastAsia" w:ascii="Times New Roman" w:hAnsi="Times New Roman" w:eastAsia="仿宋" w:cs="Times New Roman"/>
                <w:color w:val="000000"/>
                <w:sz w:val="28"/>
                <w:szCs w:val="28"/>
                <w:lang w:eastAsia="zh-CN"/>
              </w:rPr>
              <w:t xml:space="preserve">. </w:t>
            </w:r>
            <w:r>
              <w:rPr>
                <w:rFonts w:hint="eastAsia" w:ascii="Times New Roman" w:hAnsi="Times New Roman" w:eastAsia="仿宋" w:cs="Times New Roman"/>
                <w:color w:val="000000"/>
                <w:sz w:val="28"/>
                <w:szCs w:val="28"/>
                <w:lang w:val="en-US" w:eastAsia="zh-CN"/>
              </w:rPr>
              <w:t>数据仓库部分表清单</w:t>
            </w:r>
          </w:p>
          <w:p w14:paraId="49C10B18">
            <w:pPr>
              <w:numPr>
                <w:ilvl w:val="0"/>
                <w:numId w:val="0"/>
              </w:numPr>
              <w:spacing w:after="0" w:line="240" w:lineRule="auto"/>
              <w:ind w:firstLine="595" w:firstLineChars="0"/>
              <w:jc w:val="both"/>
              <w:rPr>
                <w:rFonts w:hint="eastAsia"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4</w:t>
            </w:r>
            <w:r>
              <w:rPr>
                <w:rFonts w:hint="eastAsia" w:ascii="Times New Roman" w:hAnsi="Times New Roman" w:eastAsia="仿宋" w:cs="Times New Roman"/>
                <w:color w:val="000000"/>
                <w:sz w:val="28"/>
                <w:szCs w:val="28"/>
                <w:lang w:eastAsia="zh-CN"/>
              </w:rPr>
              <w:t xml:space="preserve">. </w:t>
            </w:r>
            <w:r>
              <w:rPr>
                <w:rFonts w:hint="eastAsia" w:ascii="Times New Roman" w:hAnsi="Times New Roman" w:eastAsia="仿宋" w:cs="Times New Roman"/>
                <w:color w:val="000000"/>
                <w:sz w:val="28"/>
                <w:szCs w:val="28"/>
                <w:lang w:val="en-US" w:eastAsia="zh-CN"/>
              </w:rPr>
              <w:t>数据仓库部分字段清单</w:t>
            </w:r>
          </w:p>
          <w:p w14:paraId="05EA5A88">
            <w:pPr>
              <w:numPr>
                <w:ilvl w:val="0"/>
                <w:numId w:val="0"/>
              </w:numPr>
              <w:spacing w:after="0" w:line="240" w:lineRule="auto"/>
              <w:ind w:firstLine="595" w:firstLineChars="0"/>
              <w:jc w:val="both"/>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5. 监管EAST2.0报送数据字典</w:t>
            </w:r>
          </w:p>
          <w:p w14:paraId="1CD45142">
            <w:pPr>
              <w:spacing w:after="0" w:line="240" w:lineRule="auto"/>
              <w:ind w:firstLine="595"/>
              <w:jc w:val="both"/>
              <w:rPr>
                <w:rFonts w:ascii="Times New Roman" w:hAnsi="Times New Roman" w:eastAsia="仿宋" w:cs="Times New Roman"/>
                <w:color w:val="000000"/>
                <w:sz w:val="28"/>
                <w:szCs w:val="28"/>
                <w:lang w:eastAsia="zh-CN"/>
              </w:rPr>
            </w:pPr>
          </w:p>
        </w:tc>
      </w:tr>
    </w:tbl>
    <w:p w14:paraId="609F0580">
      <w:pPr>
        <w:rPr>
          <w:lang w:eastAsia="zh-CN"/>
        </w:rPr>
      </w:pPr>
    </w:p>
    <w:sectPr>
      <w:pgSz w:w="11906" w:h="16838"/>
      <w:pgMar w:top="1134" w:right="850" w:bottom="1134" w:left="1701" w:header="709" w:footer="709" w:gutter="0"/>
      <w:cols w:space="708"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auto"/>
    <w:pitch w:val="default"/>
    <w:sig w:usb0="E4002EFF" w:usb1="C000E47F" w:usb2="00000009" w:usb3="00000000" w:csb0="200001F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4ODJlZDljZjIwOTAxYzJmMDNhMjJkNjQyOTdjNWEifQ=="/>
  </w:docVars>
  <w:rsids>
    <w:rsidRoot w:val="002F4E8E"/>
    <w:rsid w:val="002F4E8E"/>
    <w:rsid w:val="00913D29"/>
    <w:rsid w:val="00A52AF0"/>
    <w:rsid w:val="00FC0FF6"/>
    <w:rsid w:val="09A45C60"/>
    <w:rsid w:val="18CE748A"/>
    <w:rsid w:val="1AC42EF1"/>
    <w:rsid w:val="1B622158"/>
    <w:rsid w:val="1E7D1DFA"/>
    <w:rsid w:val="251D4887"/>
    <w:rsid w:val="2E3E60F3"/>
    <w:rsid w:val="2FA0052C"/>
    <w:rsid w:val="301D7CD0"/>
    <w:rsid w:val="33F55809"/>
    <w:rsid w:val="39C06E04"/>
    <w:rsid w:val="45C9523E"/>
    <w:rsid w:val="47114A5E"/>
    <w:rsid w:val="4F950C90"/>
    <w:rsid w:val="538D6CFE"/>
    <w:rsid w:val="55637C5A"/>
    <w:rsid w:val="56230361"/>
    <w:rsid w:val="581E4588"/>
    <w:rsid w:val="593F70D3"/>
    <w:rsid w:val="5AB5456B"/>
    <w:rsid w:val="7090241D"/>
    <w:rsid w:val="720C03FE"/>
    <w:rsid w:val="7B8F5645"/>
    <w:rsid w:val="7D7416E1"/>
    <w:rsid w:val="7FC100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spacing w:after="200" w:line="276" w:lineRule="auto"/>
      <w:jc w:val="left"/>
    </w:pPr>
    <w:rPr>
      <w:rFonts w:asciiTheme="minorHAnsi" w:hAnsiTheme="minorHAnsi" w:eastAsiaTheme="minorEastAsia" w:cstheme="minorBidi"/>
      <w:kern w:val="0"/>
      <w:sz w:val="22"/>
      <w:szCs w:val="22"/>
      <w:lang w:val="zh-CN" w:eastAsia="en-US"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6">
    <w:name w:val="Strong"/>
    <w:basedOn w:val="5"/>
    <w:qFormat/>
    <w:uiPriority w:val="22"/>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2135</Words>
  <Characters>2258</Characters>
  <Lines>2</Lines>
  <Paragraphs>1</Paragraphs>
  <TotalTime>48</TotalTime>
  <ScaleCrop>false</ScaleCrop>
  <LinksUpToDate>false</LinksUpToDate>
  <CharactersWithSpaces>2278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2026-04-17T03:07:00Z</dcterms:created>
  <dc:creator>李昊骅 南京大学</dc:creator>
  <cp:lastModifiedBy>贩驹匮接</cp:lastModifiedBy>
  <dcterms:modified xsi:type="dcterms:W3CDTF">2026-05-06T02:39:03Z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eyJoZGlkIjoiOTI3MTI0YTU0YzVmNjJiYjRkMTMzMDZjMGNmM2E0NTciLCJ1c2VySWQiOiIxODAwMTEyMzU5In0=</vt:lpwstr>
  </property>
  <property fmtid="{D5CDD505-2E9C-101B-9397-08002B2CF9AE}" pid="3" name="KSOProductBuildVer">
    <vt:lpwstr>2052-12.1.0.25225</vt:lpwstr>
  </property>
  <property fmtid="{D5CDD505-2E9C-101B-9397-08002B2CF9AE}" pid="4" name="ICV">
    <vt:lpwstr>06DACE1EE72448D5A2166A10DF970B47_13</vt:lpwstr>
  </property>
</Properties>
</file>