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019C4">
      <w:pPr>
        <w:spacing w:after="0" w:line="240" w:lineRule="auto"/>
        <w:jc w:val="center"/>
        <w:rPr>
          <w:rFonts w:eastAsia="黑体" w:cs="Times New Roman"/>
          <w:b/>
          <w:bCs/>
          <w:sz w:val="44"/>
          <w:szCs w:val="42"/>
          <w:lang w:eastAsia="zh-CN"/>
        </w:rPr>
      </w:pPr>
    </w:p>
    <w:p w14:paraId="61B74E1B">
      <w:pPr>
        <w:spacing w:after="0" w:line="240" w:lineRule="auto"/>
        <w:jc w:val="center"/>
        <w:rPr>
          <w:rFonts w:eastAsia="黑体" w:cs="Times New Roman"/>
          <w:b/>
          <w:bCs/>
          <w:sz w:val="44"/>
          <w:szCs w:val="42"/>
          <w:lang w:eastAsia="zh-CN"/>
        </w:rPr>
      </w:pPr>
      <w:r>
        <w:rPr>
          <w:rFonts w:eastAsia="黑体" w:cs="Times New Roman"/>
          <w:b/>
          <w:bCs/>
          <w:sz w:val="44"/>
          <w:szCs w:val="42"/>
          <w:lang w:eastAsia="zh-CN"/>
        </w:rPr>
        <w:t>第五届中国研究生金融科技创新大赛</w:t>
      </w:r>
    </w:p>
    <w:p w14:paraId="1D8C5E2F">
      <w:pPr>
        <w:spacing w:line="600" w:lineRule="exact"/>
        <w:jc w:val="center"/>
        <w:rPr>
          <w:rFonts w:ascii="Times New Roman" w:hAnsi="Times New Roman" w:cs="Times New Roman"/>
          <w:b/>
          <w:bCs/>
          <w:sz w:val="32"/>
          <w:szCs w:val="32"/>
          <w:lang w:eastAsia="zh-CN"/>
        </w:rPr>
      </w:pPr>
      <w:r>
        <w:rPr>
          <w:rFonts w:hint="eastAsia" w:eastAsia="黑体" w:cs="Times New Roman"/>
          <w:b/>
          <w:bCs/>
          <w:sz w:val="44"/>
          <w:szCs w:val="42"/>
          <w:lang w:eastAsia="zh-CN"/>
        </w:rPr>
        <w:t>“</w:t>
      </w:r>
      <w:r>
        <w:rPr>
          <w:rFonts w:eastAsia="黑体" w:cs="Times New Roman"/>
          <w:b/>
          <w:bCs/>
          <w:sz w:val="44"/>
          <w:szCs w:val="42"/>
          <w:lang w:eastAsia="zh-CN"/>
        </w:rPr>
        <w:t>揭榜挂帅</w:t>
      </w:r>
      <w:r>
        <w:rPr>
          <w:rFonts w:hint="eastAsia" w:eastAsia="黑体" w:cs="Times New Roman"/>
          <w:b/>
          <w:bCs/>
          <w:sz w:val="44"/>
          <w:szCs w:val="42"/>
          <w:lang w:eastAsia="zh-CN"/>
        </w:rPr>
        <w:t>”</w:t>
      </w:r>
      <w:r>
        <w:rPr>
          <w:rFonts w:eastAsia="黑体" w:cs="Times New Roman"/>
          <w:b/>
          <w:bCs/>
          <w:sz w:val="44"/>
          <w:szCs w:val="42"/>
          <w:lang w:eastAsia="zh-CN"/>
        </w:rPr>
        <w:t>赛题说明</w:t>
      </w:r>
    </w:p>
    <w:tbl>
      <w:tblPr>
        <w:tblStyle w:val="3"/>
        <w:tblW w:w="100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6"/>
        <w:gridCol w:w="1276"/>
        <w:gridCol w:w="1984"/>
        <w:gridCol w:w="1346"/>
        <w:gridCol w:w="3331"/>
      </w:tblGrid>
      <w:tr w14:paraId="127AB292">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4DF2AC75">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一、命题单位基本情况</w:t>
            </w:r>
          </w:p>
        </w:tc>
      </w:tr>
      <w:tr w14:paraId="4CD671AC">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02288C64">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7598AD5A">
            <w:pPr>
              <w:spacing w:after="0" w:line="240" w:lineRule="auto"/>
              <w:jc w:val="center"/>
              <w:rPr>
                <w:rFonts w:ascii="Times New Roman" w:hAnsi="Times New Roman" w:eastAsia="仿宋" w:cs="Times New Roman"/>
                <w:color w:val="000000"/>
                <w:sz w:val="28"/>
                <w:szCs w:val="28"/>
              </w:rPr>
            </w:pPr>
            <w:r>
              <w:rPr>
                <w:rFonts w:hint="eastAsia" w:ascii="Times New Roman" w:hAnsi="Times New Roman" w:eastAsia="仿宋_GB2312" w:cs="Arial"/>
                <w:b/>
                <w:bCs/>
                <w:color w:val="000000"/>
                <w:kern w:val="0"/>
                <w:sz w:val="28"/>
                <w:szCs w:val="28"/>
                <w:lang w:val="en-US" w:eastAsia="zh-CN"/>
              </w:rPr>
              <w:t>无锡农村商业银行股份有限公司</w:t>
            </w:r>
          </w:p>
        </w:tc>
      </w:tr>
      <w:tr w14:paraId="019B8541">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6B9FF264">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单位地址</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1363E108">
            <w:pPr>
              <w:spacing w:after="0" w:line="240" w:lineRule="auto"/>
              <w:jc w:val="center"/>
              <w:rPr>
                <w:rFonts w:ascii="Times New Roman" w:hAnsi="Times New Roman" w:eastAsia="仿宋" w:cs="Times New Roman"/>
                <w:color w:val="000000"/>
                <w:sz w:val="28"/>
                <w:szCs w:val="28"/>
              </w:rPr>
            </w:pPr>
            <w:r>
              <w:rPr>
                <w:rFonts w:hint="eastAsia" w:ascii="Times New Roman" w:hAnsi="Times New Roman" w:eastAsia="仿宋_GB2312" w:cs="Arial"/>
                <w:color w:val="000000"/>
                <w:kern w:val="0"/>
                <w:sz w:val="28"/>
                <w:szCs w:val="28"/>
                <w:lang w:val="en-US" w:eastAsia="zh-CN"/>
              </w:rPr>
              <w:t>江苏省无锡市滨湖区金融2街9号</w:t>
            </w:r>
          </w:p>
        </w:tc>
      </w:tr>
      <w:tr w14:paraId="5508EC1A">
        <w:trPr>
          <w:trHeight w:val="817"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7814B03E">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单位简介</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7AC8B5D8">
            <w:pPr>
              <w:spacing w:after="0" w:line="240" w:lineRule="auto"/>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无锡农村商业银行成立于2005年6月，是一家股份制的地方性金融机构，</w:t>
            </w:r>
            <w:r>
              <w:rPr>
                <w:rFonts w:hint="eastAsia" w:ascii="Times New Roman" w:hAnsi="Times New Roman" w:eastAsia="仿宋" w:cs="Times New Roman"/>
                <w:color w:val="000000"/>
                <w:sz w:val="28"/>
                <w:szCs w:val="28"/>
                <w:lang w:val="en-US" w:eastAsia="zh-CN"/>
              </w:rPr>
              <w:t>2016年9月上交所上市</w:t>
            </w:r>
            <w:r>
              <w:rPr>
                <w:rFonts w:hint="eastAsia" w:ascii="Times New Roman" w:hAnsi="Times New Roman" w:eastAsia="仿宋" w:cs="Times New Roman"/>
                <w:color w:val="000000"/>
                <w:sz w:val="28"/>
                <w:szCs w:val="28"/>
                <w:lang w:eastAsia="zh-CN"/>
              </w:rPr>
              <w:t>。成立以来，无锡农村商业银行充分发挥法人银行的机制优势，以服务地方经济发展为己任，外拓市场，内强管理，不断做大做强做优。先后获得过“江苏省银行业文明规范服务示范单位”“江苏省和谐劳动关系先进单位”“全国金融机构服务‘三农’最佳诚信企业奖”“银企合作‘十佳银行’最佳爱心公益奖”“中国最具成长性银行”“农村商业银行城区标杆银行”“中国服务业企业500强”“全球千强银行”等荣誉称号。</w:t>
            </w:r>
          </w:p>
        </w:tc>
      </w:tr>
      <w:tr w14:paraId="1159CE0E">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14:paraId="61B02E33">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联系人</w:t>
            </w: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1E50FCB8">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姓名</w:t>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5CB302F3">
            <w:pPr>
              <w:spacing w:after="0" w:line="24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_GB2312" w:cs="Arial"/>
                <w:color w:val="000000"/>
                <w:kern w:val="0"/>
                <w:sz w:val="28"/>
                <w:szCs w:val="28"/>
                <w:lang w:val="en-US" w:eastAsia="zh-CN"/>
              </w:rPr>
              <w:t>胡陆欢</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13090F8B">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职务</w:t>
            </w:r>
          </w:p>
        </w:tc>
        <w:tc>
          <w:tcPr>
            <w:tcW w:w="3331" w:type="dxa"/>
            <w:tcBorders>
              <w:top w:val="single" w:color="000000" w:sz="4" w:space="0"/>
              <w:left w:val="single" w:color="000000" w:sz="4" w:space="0"/>
              <w:bottom w:val="single" w:color="000000" w:sz="4" w:space="0"/>
              <w:right w:val="single" w:color="000000" w:sz="4" w:space="0"/>
            </w:tcBorders>
            <w:noWrap/>
            <w:vAlign w:val="center"/>
          </w:tcPr>
          <w:p w14:paraId="38DB2B13">
            <w:pPr>
              <w:spacing w:after="0" w:line="24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_GB2312" w:cs="Arial"/>
                <w:color w:val="000000"/>
                <w:kern w:val="0"/>
                <w:sz w:val="28"/>
                <w:szCs w:val="28"/>
                <w:lang w:val="en-US" w:eastAsia="zh-CN"/>
              </w:rPr>
              <w:t>技术经理</w:t>
            </w:r>
          </w:p>
        </w:tc>
      </w:tr>
      <w:tr w14:paraId="3293FE6A">
        <w:trPr>
          <w:trHeight w:val="600"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14:paraId="62AC2657">
            <w:pPr>
              <w:spacing w:after="0" w:line="240" w:lineRule="auto"/>
              <w:rPr>
                <w:rFonts w:ascii="Times New Roman" w:hAnsi="Times New Roman" w:eastAsia="黑体" w:cs="Times New Roman"/>
                <w:b/>
                <w:bCs/>
                <w:color w:val="000000"/>
                <w:sz w:val="28"/>
                <w:szCs w:val="28"/>
                <w:lang w:eastAsia="zh-CN"/>
              </w:rPr>
            </w:pP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2D49FD11">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手机</w:t>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54DB5EFE">
            <w:pPr>
              <w:spacing w:after="0" w:line="24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_GB2312" w:cs="Arial"/>
                <w:color w:val="000000"/>
                <w:kern w:val="0"/>
                <w:sz w:val="28"/>
                <w:szCs w:val="28"/>
                <w:lang w:val="en-US" w:eastAsia="zh-CN"/>
              </w:rPr>
              <w:t>18552165368</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7AD29E9E">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邮箱</w:t>
            </w:r>
          </w:p>
        </w:tc>
        <w:tc>
          <w:tcPr>
            <w:tcW w:w="3331" w:type="dxa"/>
            <w:tcBorders>
              <w:top w:val="single" w:color="000000" w:sz="4" w:space="0"/>
              <w:left w:val="single" w:color="000000" w:sz="4" w:space="0"/>
              <w:bottom w:val="single" w:color="000000" w:sz="4" w:space="0"/>
              <w:right w:val="single" w:color="000000" w:sz="4" w:space="0"/>
            </w:tcBorders>
            <w:noWrap/>
            <w:vAlign w:val="center"/>
          </w:tcPr>
          <w:p w14:paraId="40E95629">
            <w:pPr>
              <w:spacing w:after="0" w:line="24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_GB2312" w:cs="Arial"/>
                <w:color w:val="000000"/>
                <w:kern w:val="0"/>
                <w:sz w:val="22"/>
                <w:szCs w:val="22"/>
                <w:lang w:val="en-US" w:eastAsia="zh-CN"/>
              </w:rPr>
              <w:t>huluhuan@wrcb.com.cn</w:t>
            </w:r>
          </w:p>
        </w:tc>
      </w:tr>
      <w:tr w14:paraId="5B4085EE">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5E4BA8B5">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二、命题信息</w:t>
            </w:r>
          </w:p>
        </w:tc>
      </w:tr>
      <w:tr w14:paraId="37267DCE">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5C90439F">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命题名称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19D274E4">
            <w:pPr>
              <w:spacing w:after="0" w:line="240" w:lineRule="auto"/>
              <w:rPr>
                <w:rFonts w:ascii="Times New Roman" w:hAnsi="Times New Roman" w:eastAsia="仿宋" w:cs="Times New Roman"/>
                <w:b/>
                <w:bCs/>
                <w:color w:val="000000"/>
                <w:sz w:val="28"/>
                <w:szCs w:val="28"/>
                <w:lang w:eastAsia="zh-CN"/>
              </w:rPr>
            </w:pPr>
            <w:r>
              <w:rPr>
                <w:rFonts w:hint="eastAsia" w:ascii="Times New Roman" w:hAnsi="Times New Roman" w:eastAsia="仿宋_GB2312" w:cs="Arial"/>
                <w:color w:val="000000" w:themeColor="text1"/>
                <w:kern w:val="0"/>
                <w:sz w:val="28"/>
                <w:szCs w:val="28"/>
                <w:lang w:val="en-US" w:eastAsia="zh-CN"/>
                <w14:textFill>
                  <w14:solidFill>
                    <w14:schemeClr w14:val="tx1"/>
                  </w14:solidFill>
                </w14:textFill>
              </w:rPr>
              <w:t>基于多模态大模型的金融影像智能相似度检测模型</w:t>
            </w:r>
          </w:p>
        </w:tc>
      </w:tr>
      <w:tr w14:paraId="0B5F6F72">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14:paraId="65B98BB4">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宋体"/>
                <w:b/>
                <w:bCs/>
                <w:color w:val="000000"/>
                <w:sz w:val="28"/>
                <w:szCs w:val="28"/>
                <w:lang w:eastAsia="zh-CN"/>
              </w:rPr>
              <w:t>命题概述</w:t>
            </w:r>
          </w:p>
        </w:tc>
        <w:tc>
          <w:tcPr>
            <w:tcW w:w="7937" w:type="dxa"/>
            <w:gridSpan w:val="4"/>
            <w:vMerge w:val="restart"/>
            <w:tcBorders>
              <w:top w:val="single" w:color="000000" w:sz="4" w:space="0"/>
              <w:left w:val="single" w:color="000000" w:sz="4" w:space="0"/>
              <w:bottom w:val="single" w:color="000000" w:sz="4" w:space="0"/>
              <w:right w:val="single" w:color="000000" w:sz="4" w:space="0"/>
            </w:tcBorders>
            <w:noWrap/>
            <w:vAlign w:val="center"/>
          </w:tcPr>
          <w:p w14:paraId="0223E053">
            <w:pPr>
              <w:spacing w:after="0" w:line="240" w:lineRule="auto"/>
              <w:rPr>
                <w:rFonts w:ascii="Times New Roman" w:hAnsi="Times New Roman" w:eastAsia="仿宋" w:cs="Times New Roman"/>
                <w:color w:val="000000"/>
                <w:sz w:val="28"/>
                <w:szCs w:val="28"/>
                <w:lang w:eastAsia="zh-CN"/>
              </w:rPr>
            </w:pPr>
            <w:r>
              <w:rPr>
                <w:rFonts w:hint="eastAsia" w:ascii="Times New Roman" w:hAnsi="Times New Roman" w:eastAsia="仿宋_GB2312" w:cs="Arial"/>
                <w:color w:val="000000"/>
                <w:kern w:val="0"/>
                <w:sz w:val="24"/>
                <w:szCs w:val="24"/>
                <w:lang w:val="en-US" w:eastAsia="zh-CN" w:bidi="ar-SA"/>
              </w:rPr>
              <w:t>我行在信贷业务办理过程中，每笔贷款在面签环节会采集大量影像资料，包括客户与客户经理的合影照片、身份证明文件影像、抵质押物权属证明影像、合同文档影像等多种类型，这些影像资料作为贷款审批的关键依据，通过影像平台进行统一存储和管理。在众多影像中，客户面签照片是核实贷款面签真实性的核心凭证，需要先从海量影像中准确筛选出面签照片，再将其与历史面签照片进行比对，识别是否存在重复使用或跨客户套用的情况。在实际业务中，部分客户经理或中介机构将历史已审核通过的面签照片重复提交使用、甚至将同一面签照片套用于不同客户的贷款申请中，由于影像数量庞大且人为差异细微，传统人工审核难以有效识别此类违规行为。当前对信贷影像的合规性审核主要依赖人工抽检，覆盖率不足，随着业务量增长，人工审核产能已无法满足全量核验的需求，而监管部门对贷款"三查"的合规要求日趋严格，贷前材料失真直接导致监管合规风险。我行影像平台已积累数万笔信贷业务的影像数据，涵盖多个信贷产品线，具备构建智能化检测模型的数据基础，但尚未形成通用的、可跨场景复用的影像相似度检测解决方案，亟需通过技术手段实现影像风控的"全量穿透"。</w:t>
            </w:r>
          </w:p>
        </w:tc>
      </w:tr>
      <w:tr w14:paraId="49B335E3">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43A3CC99">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业务场景描述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清晰说明现实业务现状、核心瓶颈及亟需解决的必要性</w:t>
            </w:r>
            <w:r>
              <w:rPr>
                <w:rFonts w:ascii="Times New Roman" w:hAnsi="Times New Roman" w:eastAsia="仿宋" w:cs="Times New Roman"/>
                <w:color w:val="000000"/>
                <w:sz w:val="28"/>
                <w:szCs w:val="28"/>
                <w:lang w:eastAsia="zh-CN"/>
              </w:rPr>
              <w:t>）</w:t>
            </w:r>
          </w:p>
          <w:p w14:paraId="2A65808F">
            <w:pPr>
              <w:spacing w:after="0" w:line="240" w:lineRule="auto"/>
              <w:ind w:firstLine="560" w:firstLineChars="200"/>
              <w:jc w:val="both"/>
              <w:rPr>
                <w:rFonts w:ascii="Times New Roman" w:hAnsi="Times New Roman" w:eastAsia="仿宋" w:cs="Times New Roman"/>
                <w:color w:val="000000"/>
                <w:sz w:val="28"/>
                <w:szCs w:val="28"/>
                <w:lang w:eastAsia="zh-CN"/>
              </w:rPr>
            </w:pPr>
          </w:p>
          <w:p w14:paraId="5A5CEC12">
            <w:pPr>
              <w:spacing w:after="0" w:line="240" w:lineRule="auto"/>
              <w:ind w:firstLine="560" w:firstLineChars="200"/>
              <w:jc w:val="both"/>
              <w:rPr>
                <w:rFonts w:ascii="Times New Roman" w:hAnsi="Times New Roman" w:eastAsia="仿宋" w:cs="Times New Roman"/>
                <w:color w:val="000000"/>
                <w:sz w:val="28"/>
                <w:szCs w:val="28"/>
                <w:lang w:eastAsia="zh-CN"/>
              </w:rPr>
            </w:pPr>
          </w:p>
        </w:tc>
      </w:tr>
      <w:tr w14:paraId="14694D35">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0C85F574">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技术攻关问题描述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提炼业务瓶颈对应的技术卡点，说明难点及现有方法不足</w:t>
            </w:r>
            <w:r>
              <w:rPr>
                <w:rFonts w:ascii="Times New Roman" w:hAnsi="Times New Roman" w:eastAsia="仿宋" w:cs="Times New Roman"/>
                <w:color w:val="000000"/>
                <w:sz w:val="28"/>
                <w:szCs w:val="28"/>
                <w:lang w:eastAsia="zh-CN"/>
              </w:rPr>
              <w:t>）</w:t>
            </w:r>
          </w:p>
          <w:p w14:paraId="0547564B">
            <w:p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_GB2312" w:cs="Arial"/>
                <w:color w:val="000000"/>
                <w:kern w:val="0"/>
                <w:sz w:val="24"/>
                <w:szCs w:val="24"/>
                <w:lang w:val="en-US" w:eastAsia="zh-CN" w:bidi="ar-SA"/>
              </w:rPr>
              <w:t>信贷业务中每笔贷款涉及大量多类型影像（面签合影、证件影像、权属证明、合同文档等），需要先从海量影像中准确识别并筛选出面签照片，再对面签照片进行相似度比对以发现重复使用或跨客户套用的行为，传统基于规则或像素比对的方法难以有效完成这一"分类筛选+相似度检测"的端到端流程。</w:t>
            </w:r>
          </w:p>
          <w:p w14:paraId="71D09D35">
            <w:pPr>
              <w:spacing w:after="0" w:line="240" w:lineRule="auto"/>
              <w:ind w:firstLine="595"/>
              <w:jc w:val="both"/>
              <w:rPr>
                <w:rFonts w:ascii="Times New Roman" w:hAnsi="Times New Roman" w:eastAsia="仿宋" w:cs="Times New Roman"/>
                <w:color w:val="000000"/>
                <w:sz w:val="28"/>
                <w:szCs w:val="28"/>
                <w:lang w:eastAsia="zh-CN"/>
              </w:rPr>
            </w:pPr>
          </w:p>
        </w:tc>
      </w:tr>
      <w:tr w14:paraId="06093C88">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6C723DD2">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攻关任务描述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针对每一个技术攻关问题，明确需完成的具体任务及成果形式</w:t>
            </w:r>
            <w:r>
              <w:rPr>
                <w:rFonts w:ascii="Times New Roman" w:hAnsi="Times New Roman" w:eastAsia="仿宋" w:cs="Times New Roman"/>
                <w:color w:val="000000"/>
                <w:sz w:val="28"/>
                <w:szCs w:val="28"/>
                <w:lang w:eastAsia="zh-CN"/>
              </w:rPr>
              <w:t>）</w:t>
            </w:r>
          </w:p>
          <w:p w14:paraId="7531BCBB">
            <w:p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_GB2312" w:cs="Arial"/>
                <w:color w:val="000000"/>
                <w:kern w:val="0"/>
                <w:sz w:val="24"/>
                <w:szCs w:val="24"/>
                <w:lang w:val="en-US" w:eastAsia="zh-CN" w:bidi="ar-SA"/>
              </w:rPr>
              <w:t>构建影像智能分类与相似度检测模型： 基于多模态预训练模型（如CLIP等），设计适用于金融影像场景的端到端检测流程。第一步实现影像智能分类，能够从海量多类型影像中准确识别并筛选出面签照片；第二步基于深度度量学习方法构建特征提取网络，对筛选出的面签照片进行向量化编码，使得语义相同或高度相似的影像在向量空间中的距离足够近，而不同影像的距离足够远。参赛团队需设计合理的分类策略和相似度度量策略，输出分类结果和相似度分数。</w:t>
            </w:r>
          </w:p>
          <w:p w14:paraId="09AF92CC">
            <w:pPr>
              <w:spacing w:after="0" w:line="240" w:lineRule="auto"/>
              <w:ind w:firstLine="595"/>
              <w:jc w:val="both"/>
              <w:rPr>
                <w:rFonts w:ascii="Times New Roman" w:hAnsi="Times New Roman" w:eastAsia="仿宋" w:cs="Times New Roman"/>
                <w:color w:val="000000"/>
                <w:sz w:val="28"/>
                <w:szCs w:val="28"/>
                <w:lang w:eastAsia="zh-CN"/>
              </w:rPr>
            </w:pPr>
          </w:p>
        </w:tc>
      </w:tr>
      <w:tr w14:paraId="5E575868">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127522F9">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现有基础</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命题单位针对技术攻关难点和攻关任务，已开展的研究工作或验证尝试及效果</w:t>
            </w:r>
            <w:r>
              <w:rPr>
                <w:rFonts w:ascii="Times New Roman" w:hAnsi="Times New Roman" w:eastAsia="仿宋" w:cs="Times New Roman"/>
                <w:color w:val="000000"/>
                <w:sz w:val="28"/>
                <w:szCs w:val="28"/>
                <w:lang w:eastAsia="zh-CN"/>
              </w:rPr>
              <w:t>）</w:t>
            </w:r>
          </w:p>
          <w:p w14:paraId="576EF95C">
            <w:p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_GB2312" w:cs="Arial"/>
                <w:color w:val="000000"/>
                <w:kern w:val="0"/>
                <w:sz w:val="24"/>
                <w:szCs w:val="24"/>
                <w:lang w:val="en-US" w:eastAsia="zh-CN" w:bidi="ar-SA"/>
              </w:rPr>
              <w:t>我行科技团队已在"商户易贷"业务场景中完成了影像相似度检测模型的生产落地。当前采用多模态预训练模型（CLIP）作为基础特征提取器，利用其图像与文本的语义关联能力实现影像分类过滤，从海量多类型影像中识别出面签照片，再通过影像向量化编码和向量相似度计算对面签照片进行相似度检测。系统已覆盖商户易贷全量业务，累计检测影像超过4万张，模型训练耗时约3.5小时，批量检测耗时约2.5小时。参赛团队可在此基础上探索更优的特征提取方法或相似度度量策略，以提升分类筛选的准确率和相似度检测的精度。</w:t>
            </w:r>
          </w:p>
        </w:tc>
      </w:tr>
      <w:tr w14:paraId="19DB5C44">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635932B7">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任务目标</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技术攻关的总体目标、量化技术指标及具体成果交付形式</w:t>
            </w:r>
            <w:r>
              <w:rPr>
                <w:rFonts w:ascii="Times New Roman" w:hAnsi="Times New Roman" w:eastAsia="仿宋" w:cs="Times New Roman"/>
                <w:color w:val="000000"/>
                <w:sz w:val="28"/>
                <w:szCs w:val="28"/>
                <w:lang w:eastAsia="zh-CN"/>
              </w:rPr>
              <w:t>）</w:t>
            </w:r>
          </w:p>
          <w:p w14:paraId="71455B71">
            <w:pPr>
              <w:pStyle w:val="2"/>
              <w:numPr>
                <w:ilvl w:val="0"/>
                <w:numId w:val="0"/>
              </w:numPr>
              <w:ind w:leftChars="0" w:firstLine="480" w:firstLineChars="200"/>
              <w:rPr>
                <w:rFonts w:ascii="Times New Roman" w:hAnsi="Times New Roman" w:eastAsia="仿宋" w:cs="Times New Roman"/>
                <w:color w:val="000000"/>
                <w:sz w:val="28"/>
                <w:szCs w:val="28"/>
                <w:lang w:eastAsia="zh-CN"/>
              </w:rPr>
            </w:pPr>
            <w:r>
              <w:rPr>
                <w:rFonts w:hint="eastAsia" w:ascii="Times New Roman" w:hAnsi="Times New Roman" w:eastAsia="仿宋_GB2312" w:cs="Arial"/>
                <w:color w:val="000000"/>
                <w:kern w:val="0"/>
                <w:sz w:val="24"/>
                <w:szCs w:val="24"/>
                <w:lang w:val="en-US" w:eastAsia="zh-CN" w:bidi="ar-SA"/>
              </w:rPr>
              <w:t>构建一套可运行的金融影像智能分类与相似度检测系统，要求能够从海量多类型影像中自动筛选客户经理面签照片，并与历史影像进行比对，找出高相似度的可疑交易；系统需支持跨业务场景使用，能够适配不同信贷产品的影像检测需求；提供检测汇总视图，展示检测结果统计情况，并支持查看高相似可疑交易对应的影像及关联的业务数据；要求对相似度判定阈值的选取策略进行说明，分析不同阈值对准确率与召回率的影响；交付完整的系统代码及运行环境说明、技术报告（含方法说明、实验设计、结果分析、消融实验）及可运行的演示程序。</w:t>
            </w:r>
          </w:p>
          <w:p w14:paraId="78613A0A">
            <w:pPr>
              <w:spacing w:after="0" w:line="240" w:lineRule="auto"/>
              <w:ind w:firstLine="595"/>
              <w:jc w:val="both"/>
              <w:rPr>
                <w:rFonts w:ascii="Times New Roman" w:hAnsi="Times New Roman" w:eastAsia="仿宋" w:cs="Times New Roman"/>
                <w:color w:val="000000"/>
                <w:sz w:val="28"/>
                <w:szCs w:val="28"/>
                <w:lang w:eastAsia="zh-CN"/>
              </w:rPr>
            </w:pPr>
          </w:p>
        </w:tc>
      </w:tr>
      <w:tr w14:paraId="1FE33C64">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7908477A">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数据集描述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赛题配套数据集的核心信息，清晰说明数据相关属性及配套要求</w:t>
            </w:r>
            <w:r>
              <w:rPr>
                <w:rFonts w:ascii="Times New Roman" w:hAnsi="Times New Roman" w:eastAsia="仿宋" w:cs="Times New Roman"/>
                <w:color w:val="000000"/>
                <w:sz w:val="28"/>
                <w:szCs w:val="28"/>
                <w:lang w:eastAsia="zh-CN"/>
              </w:rPr>
              <w:t>）</w:t>
            </w:r>
          </w:p>
          <w:p w14:paraId="422242A8">
            <w:pPr>
              <w:pStyle w:val="2"/>
              <w:numPr>
                <w:ilvl w:val="0"/>
                <w:numId w:val="0"/>
              </w:numPr>
              <w:ind w:leftChars="0" w:firstLine="480" w:firstLineChars="200"/>
              <w:rPr>
                <w:rFonts w:ascii="Times New Roman" w:hAnsi="Times New Roman" w:eastAsia="仿宋" w:cs="Times New Roman"/>
                <w:color w:val="000000"/>
                <w:sz w:val="28"/>
                <w:szCs w:val="28"/>
                <w:lang w:eastAsia="zh-CN"/>
              </w:rPr>
            </w:pPr>
            <w:r>
              <w:rPr>
                <w:rFonts w:hint="eastAsia" w:ascii="Times New Roman" w:hAnsi="Times New Roman" w:eastAsia="仿宋_GB2312" w:cs="Arial"/>
                <w:color w:val="000000"/>
                <w:kern w:val="0"/>
                <w:sz w:val="24"/>
                <w:szCs w:val="24"/>
                <w:lang w:val="en-US" w:eastAsia="zh-CN" w:bidi="ar-SA"/>
              </w:rPr>
              <w:t>由于信贷业务影像涉及客户身份证件、面签照片、合同文档等敏感信息，且影像类数据难以在不破坏关键特征的前提下进行脱敏处理，本赛题采用合成数据集，基于真实业务场景的影像特征分布，模拟生成多类型影像数据（面签合影照片、证件影像、权属证明影像、合同文档影像等），并在其中构造已知相似/重复的影像对作为正样本，同时包含不同影像作为负样本。每张影像标注有影像类型标签（用于分类任务）和相似度标注（用于检测任务），并关联业务类型标签（如所属信贷产品类别）。</w:t>
            </w:r>
            <w:bookmarkStart w:id="0" w:name="_GoBack"/>
            <w:bookmarkEnd w:id="0"/>
          </w:p>
          <w:p w14:paraId="74D6D4E6">
            <w:pPr>
              <w:spacing w:after="0" w:line="240" w:lineRule="auto"/>
              <w:ind w:firstLine="595"/>
              <w:jc w:val="both"/>
              <w:rPr>
                <w:rFonts w:ascii="Times New Roman" w:hAnsi="Times New Roman" w:eastAsia="仿宋" w:cs="Times New Roman"/>
                <w:color w:val="000000"/>
                <w:sz w:val="28"/>
                <w:szCs w:val="28"/>
                <w:lang w:eastAsia="zh-CN"/>
              </w:rPr>
            </w:pPr>
          </w:p>
        </w:tc>
      </w:tr>
    </w:tbl>
    <w:p w14:paraId="0EFC519C">
      <w:pPr>
        <w:rPr>
          <w:lang w:eastAsia="zh-CN"/>
        </w:rPr>
      </w:pPr>
    </w:p>
    <w:sectPr>
      <w:pgSz w:w="11906" w:h="16838"/>
      <w:pgMar w:top="1134" w:right="850" w:bottom="1134" w:left="1701" w:header="709" w:footer="709"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等线">
    <w:altName w:val="汉仪中等线KW"/>
    <w:panose1 w:val="02010600030101010101"/>
    <w:charset w:val="86"/>
    <w:family w:val="auto"/>
    <w:pitch w:val="default"/>
    <w:sig w:usb0="00000000" w:usb1="00000000" w:usb2="00000016" w:usb3="00000000" w:csb0="0004000F" w:csb1="00000000"/>
  </w:font>
  <w:font w:name="DengXian">
    <w:altName w:val="汉仪中等线KW"/>
    <w:panose1 w:val="00000000000000000000"/>
    <w:charset w:val="00"/>
    <w:family w:val="auto"/>
    <w:pitch w:val="default"/>
    <w:sig w:usb0="00000000" w:usb1="00000000" w:usb2="00000000" w:usb3="00000000" w:csb0="00000000"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黑体">
    <w:altName w:val="汉仪中黑KW"/>
    <w:panose1 w:val="00000000000000000000"/>
    <w:charset w:val="00"/>
    <w:family w:val="auto"/>
    <w:pitch w:val="default"/>
    <w:sig w:usb0="00000000" w:usb1="00000000" w:usb2="00000000" w:usb3="00000000" w:csb0="00000000" w:csb1="00000000"/>
  </w:font>
  <w:font w:name="仿宋">
    <w:altName w:val="仿宋-简"/>
    <w:panose1 w:val="02010609060101010101"/>
    <w:charset w:val="86"/>
    <w:family w:val="modern"/>
    <w:pitch w:val="default"/>
    <w:sig w:usb0="00000000" w:usb1="00000000" w:usb2="00000016" w:usb3="00000000" w:csb0="00040001"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仿宋-简">
    <w:panose1 w:val="02010609060101010101"/>
    <w:charset w:val="86"/>
    <w:family w:val="auto"/>
    <w:pitch w:val="default"/>
    <w:sig w:usb0="A00002BF" w:usb1="3ACF7CFA"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仿宋_GB2312">
    <w:altName w:val="仿宋-简"/>
    <w:panose1 w:val="02010609030101010101"/>
    <w:charset w:val="86"/>
    <w:family w:val="modern"/>
    <w:pitch w:val="default"/>
    <w:sig w:usb0="00000000" w:usb1="00000000" w:usb2="00000010" w:usb3="00000000" w:csb0="00040000"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E8E"/>
    <w:rsid w:val="002F4E8E"/>
    <w:rsid w:val="00913D29"/>
    <w:rsid w:val="00FC0FF6"/>
    <w:rsid w:val="6DF71B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qFormat="1" w:unhideWhenUsed="0"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spacing w:after="200" w:line="276" w:lineRule="auto"/>
      <w:jc w:val="left"/>
    </w:pPr>
    <w:rPr>
      <w:rFonts w:asciiTheme="minorHAnsi" w:hAnsiTheme="minorHAnsi" w:eastAsiaTheme="minorEastAsia" w:cstheme="minorBidi"/>
      <w:kern w:val="0"/>
      <w:sz w:val="22"/>
      <w:szCs w:val="22"/>
      <w:lang w:val="zh-CN" w:eastAsia="en-US"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endnote text"/>
    <w:basedOn w:val="1"/>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50</Words>
  <Characters>291</Characters>
  <Lines>2</Lines>
  <Paragraphs>1</Paragraphs>
  <TotalTime>0</TotalTime>
  <ScaleCrop>false</ScaleCrop>
  <LinksUpToDate>false</LinksUpToDate>
  <CharactersWithSpaces>340</CharactersWithSpaces>
  <Application>WPS Office_12.1.25869.25869_F1E327BC-269C-435d-A152-05C5408002CA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2026-04-17T11:07:00Z</dcterms:created>
  <dc:creator>李昊骅 南京大学</dc:creator>
  <cp:lastModifiedBy>麥田</cp:lastModifiedBy>
  <dcterms:modified xsi:type="dcterms:W3CDTF">2026-05-11T09:31:32Z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2052-12.1.25869.25869</vt:lpwstr>
  </property>
  <property fmtid="{D5CDD505-2E9C-101B-9397-08002B2CF9AE}" pid="3" name="ICV">
    <vt:lpwstr>7E1E8BFD9CBA49477431016A626844E2_42</vt:lpwstr>
  </property>
</Properties>
</file>