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68426">
      <w:pPr>
        <w:spacing w:after="0" w:line="240" w:lineRule="auto"/>
        <w:jc w:val="center"/>
        <w:rPr>
          <w:rFonts w:hint="eastAsia" w:eastAsia="黑体" w:cs="Times New Roman"/>
          <w:b/>
          <w:bCs/>
          <w:sz w:val="44"/>
          <w:szCs w:val="42"/>
          <w:lang w:eastAsia="zh-CN"/>
        </w:rPr>
      </w:pPr>
    </w:p>
    <w:p w14:paraId="51B847F9">
      <w:pPr>
        <w:spacing w:after="0" w:line="240" w:lineRule="auto"/>
        <w:jc w:val="center"/>
        <w:rPr>
          <w:rFonts w:hint="eastAsia" w:eastAsia="黑体" w:cs="Times New Roman"/>
          <w:b/>
          <w:bCs/>
          <w:sz w:val="44"/>
          <w:szCs w:val="42"/>
          <w:lang w:eastAsia="zh-CN"/>
        </w:rPr>
      </w:pPr>
      <w:r>
        <w:rPr>
          <w:rFonts w:eastAsia="黑体" w:cs="Times New Roman"/>
          <w:b/>
          <w:bCs/>
          <w:sz w:val="44"/>
          <w:szCs w:val="42"/>
          <w:lang w:eastAsia="zh-CN"/>
        </w:rPr>
        <w:t>第五届中国研究生金融科技创新大赛</w:t>
      </w:r>
    </w:p>
    <w:p w14:paraId="25ADEEB4">
      <w:pPr>
        <w:spacing w:line="600" w:lineRule="exact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“</w:t>
      </w:r>
      <w:r>
        <w:rPr>
          <w:rFonts w:eastAsia="黑体" w:cs="Times New Roman"/>
          <w:b/>
          <w:bCs/>
          <w:sz w:val="44"/>
          <w:szCs w:val="42"/>
          <w:lang w:eastAsia="zh-CN"/>
        </w:rPr>
        <w:t>揭榜挂帅</w:t>
      </w: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”</w:t>
      </w:r>
      <w:r>
        <w:rPr>
          <w:rFonts w:eastAsia="黑体" w:cs="Times New Roman"/>
          <w:b/>
          <w:bCs/>
          <w:sz w:val="44"/>
          <w:szCs w:val="42"/>
          <w:lang w:eastAsia="zh-CN"/>
        </w:rPr>
        <w:t>赛题说明</w:t>
      </w:r>
    </w:p>
    <w:tbl>
      <w:tblPr>
        <w:tblStyle w:val="4"/>
        <w:tblW w:w="100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1276"/>
        <w:gridCol w:w="1984"/>
        <w:gridCol w:w="1346"/>
        <w:gridCol w:w="3331"/>
      </w:tblGrid>
      <w:tr w14:paraId="7102D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B41AA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一、命题单位基本情况</w:t>
            </w:r>
          </w:p>
        </w:tc>
      </w:tr>
      <w:tr w14:paraId="220CD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ED43E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411D47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南京证券股份有限公司</w:t>
            </w:r>
          </w:p>
        </w:tc>
      </w:tr>
      <w:tr w14:paraId="02E72B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7AF1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单位地址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44F69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江苏省南京市江东中路389号</w:t>
            </w:r>
          </w:p>
        </w:tc>
      </w:tr>
      <w:tr w14:paraId="662D4E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9F0F2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单位简介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D7278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南京证券创建于1990年12月，由中国人民银行南京分行发起设立，与新中国资本市场“同龄”。1995年，南京证券划归南京市人民政府管理。2012年，南京证券完成股份制改造，变更为股份有限公司。2015年10月，南京证券成功挂牌全国股转系统。2018年6月13日，南京证券（股票代码：601990）成功在上海证券交易所主板上市。截至2020年12月，公司注册资本36.86亿元，业务范围涵盖证券经纪、证券承销与保荐、证券自营、证券资产管理、信用交易</w:t>
            </w: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、场外市场、金融衍生品、互联网金融等诸多领域，在宁夏、宁夏、北京、上海、浙江、重庆、广东、江西、福建、陕西、云南、湖南、广西、山东、湖北、河北、四川、山西等省（区、市）设有110余家分支机构，拥有宁证期货（原南证期货）、富安达基金、巨石创投、宁夏股权托管交易中心、南京蓝天投资等成员企业，形成了覆盖证券、期货、基金、私募股权投资、股权托管交易、另类投资等较为完整的证券金融产业链。</w:t>
            </w:r>
          </w:p>
        </w:tc>
      </w:tr>
      <w:tr w14:paraId="49A86C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63D34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6E808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0435D">
            <w:pPr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郭枫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5130F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92334">
            <w:pPr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数据研发中心团队经理</w:t>
            </w:r>
          </w:p>
        </w:tc>
      </w:tr>
      <w:tr w14:paraId="585D92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209F8">
            <w:pPr>
              <w:spacing w:after="0" w:line="240" w:lineRule="auto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5554C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手机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61527">
            <w:pPr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17366282043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6837D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F11E0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fguo@njzq.com.cn</w:t>
            </w:r>
          </w:p>
        </w:tc>
      </w:tr>
      <w:tr w14:paraId="498CD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7F19D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二、命题信息</w:t>
            </w:r>
          </w:p>
        </w:tc>
      </w:tr>
      <w:tr w14:paraId="0D6A2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4D0D10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命题名称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AED30">
            <w:pPr>
              <w:spacing w:after="0" w:line="240" w:lineRule="auto"/>
              <w:rPr>
                <w:rFonts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  <w:t>基于隐私计算的证券行业数据交换研究</w:t>
            </w:r>
          </w:p>
        </w:tc>
      </w:tr>
      <w:tr w14:paraId="3983C8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8C9B9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宋体"/>
                <w:b/>
                <w:bCs/>
                <w:color w:val="000000"/>
                <w:sz w:val="28"/>
                <w:szCs w:val="28"/>
                <w:lang w:eastAsia="zh-CN"/>
              </w:rPr>
              <w:t>命题概述</w:t>
            </w:r>
          </w:p>
        </w:tc>
        <w:tc>
          <w:tcPr>
            <w:tcW w:w="793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F9FD6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如何在证券行业数据交换场景下，围绕隐私求交、联邦学习等关键技术环节，构建安全高效的数据交换技术方案，解决跨域数据协同过程中存在的共同用户识别、数据安全共享等问题，推动证券数据要素在联合风控、联合营销等核心业务场景中实现“可用不可见”的应用落地？</w:t>
            </w:r>
          </w:p>
        </w:tc>
      </w:tr>
      <w:tr w14:paraId="406EF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2CEEE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业务场景描述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清晰说明现实业务现状、核心瓶颈及亟需解决的必要性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59B928EC">
            <w:p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数据作为新型生产要素，已成为行业数字化转型与高质量发展的核心驱动力。证监会发布的新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“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国九条”等监管规范对证券行业数据安全与风险防范提出了更为严格的要求，《中华人民共和国个人信息保护法》等法律法规亦明确了数据处理活动的合规底线。在严监管、强合规的行业背景下，证券数据要素的安全流通与价值释放面临多重挑战，亟需通过技术创新破解瓶颈。</w:t>
            </w:r>
          </w:p>
          <w:p w14:paraId="2F63C2DF">
            <w:p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从业务现状来看，证券公司在联合风控、联合营销等核心业务场景中，高度依赖与银行、征信机构、行业合作方等外部主体的数据协同应用。然而，客户信息资源分散存储于不同机构与业务条线，数据孤岛效应显著，制约了数据要素的协同价值释放。</w:t>
            </w:r>
          </w:p>
          <w:p w14:paraId="2137B663">
            <w:p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目前，证券行业数据交换主要面临以下核心瓶颈：</w:t>
            </w:r>
          </w:p>
          <w:p w14:paraId="715CB17A">
            <w:p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第一，多源异构数据质量参差不齐。参与数据交换的各方机构在数据采集标准、字段定义、数据格式、缺失值处理等方面存在差异，数据噪声多、一致性差，直接影响后续数据协同应用的效果与可靠性，亟需构建统一的数据清洗与标准化预处理机制。</w:t>
            </w:r>
          </w:p>
          <w:p w14:paraId="0C119A65">
            <w:p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第二，跨机构共同用户识别困难。参与方机构之间客户群体存在部分重叠但身份标识不统一，传统明文比对方式面临严重的数据泄露风险，如何在原始数据不出域的前提下高效、准确识别出共同用户群体，是开展后续联合计算的关键前提。</w:t>
            </w:r>
          </w:p>
          <w:p w14:paraId="1A5CDEF3">
            <w:p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第三，原始数据安全共享制约突出。传统数据共享方式在数据传输、存储、使用等环节存在较高的泄露风险，一旦发生数据安全事件，不仅会对客户隐私权益造成损害，更可能引发系统性合规风险与声誉风险，亟需引入联邦学习等隐私计算技术，实现各参与方在原始数据不出域前提下的安全应用。</w:t>
            </w:r>
          </w:p>
          <w:p w14:paraId="77E1C3FA">
            <w:p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第四，数据交换业务价值释放不充分。在联合风控、联合营销等典型业务场景中，因数据交换机制不完善，大量高价值数据未能有效参与业务分析与决策，数据要素的资产价值与业务价值挖掘不充分。</w:t>
            </w:r>
          </w:p>
          <w:p w14:paraId="2B283466">
            <w:p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因此，亟需研究构建一套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基于隐私计算技术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的证券行业数据交换技术方案，在确保数据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“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可用不可见”的前提下打通数据交换堵点，推动数据要素在证券业务核心场景中的规模化落地应用，切实赋能证券行业高质量发展。</w:t>
            </w:r>
          </w:p>
        </w:tc>
      </w:tr>
      <w:tr w14:paraId="3C397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FA6D8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技术攻关问题描述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提炼业务瓶颈对应的技术卡点，说明难点及现有方法不足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4830B643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1、参与数据交换的各方机构数据来源广泛、格式多样，存在字段定义不统一、数据缺失、异常值干扰、特征分布差异大等问题，现有数据清洗方法在跨机构协同预处理场景下适配性不足，难以兼顾处理效率与数据质量，影响后续隐私求交与隐私计算的准确性与效率。</w:t>
            </w:r>
          </w:p>
          <w:p w14:paraId="0FCD03AE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2、参与方机构客户标识体系存在差异，需在原始数据不出域的前提下完成共同用户的精准识别，传统方案通常面临计算开销大、通信成本高、匹配效率低等问题，难以兼顾安全性、准确性与实用性要求。</w:t>
            </w:r>
          </w:p>
          <w:p w14:paraId="4712EDCC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3、联邦学习算法的工程化落地挑战。证券行业业务场景下参与方数据特征维度高、样本分布不均衡、标签稀疏性强，联邦学习算法在多方协同计算中面临通信开销大、收敛效率低、精度损失明显等问题，同时目前联邦学习在联合风控、联合营销等具体业务场景中的工程化应用尚不成熟，亟需开展针对性优化研究与落地验证。</w:t>
            </w:r>
          </w:p>
        </w:tc>
      </w:tr>
      <w:tr w14:paraId="130FE7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27A8F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攻关任务描述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针对每一个技术攻关问题，明确需完成的具体任务及成果形式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33E46BA2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面向证券行业联合风控、联合营销等业务场景下的数据交换需求，构建基于隐私计算技术的数据交换技术方案，并完成工程化落地与典型场景应用验证。具体包括以下环节：</w:t>
            </w:r>
          </w:p>
          <w:p w14:paraId="5D01FBB8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一是针对参与数据交换各方数据质量参差不齐的问题，研究跨机构数据清洗机制，构建涵盖缺失值处理、异常值识别、数据格式标准化、特征对齐、数据质量评估等功能的数据清洗工具链，确保数据具备统一规范，为后续数据应用奠定基础。</w:t>
            </w:r>
          </w:p>
          <w:p w14:paraId="3022A1D4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二是针对跨机构共同用户识别问题，研究高效的隐私求交算法，在原始数据不出域的前提下实现参与方共同用户群体的精准识别；优化大规模数据场景下的求交性能，形成可工程化部署的隐私求交算法，保障共同用户识别过程的安全性、准确性与高效性。</w:t>
            </w:r>
          </w:p>
          <w:p w14:paraId="3BA70FA4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三是在基于隐私求交确定的共同用户数据基础上，研究适配证券行业业务场景的纵向联邦学习算法，优化参数交互协议、通信压缩机制、算法收敛效率等关键环节，在原始数据不出域的前提下实现多方数据的安全联合计算；面向联合风控、联合营销等典型业务场景开展工程化应用验证，形成覆盖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“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数据清洗—隐私求交—联邦学习”全链路的数据交换技术方案。</w:t>
            </w:r>
          </w:p>
        </w:tc>
      </w:tr>
      <w:tr w14:paraId="22A0C0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9AEA5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现有基础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命题单位针对技术攻关难点和攻关任务，已开展的研究工作或验证尝试及效果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2E1DCDD4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  <w:t>数据资源：</w:t>
            </w:r>
          </w:p>
          <w:p w14:paraId="486E0858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已积累涵盖证券经纪、信用、投顾等多业务条线的客户脱敏数据，涉及客户基础信息、账户资产、交易行为、产品持仓、服务触达等多维度字段，为隐私计算技术验证与应用落地提供数据基础。</w:t>
            </w:r>
          </w:p>
          <w:p w14:paraId="4042F900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</w:p>
          <w:p w14:paraId="64575774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  <w:t>技术储备：</w:t>
            </w:r>
          </w:p>
          <w:p w14:paraId="05C2F0E9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公司已建成企业级数据中台与大数据处理平台，具备海量数据采集、清洗、整合、存储与计算的全链路处理能力，为隐私计算技术研发与多方数据协同应用提供坚实的数据底座支撑。目前，公司在隐私计算核心技术研发、联邦学习工程化应用、密态计算性能优化等方面尚处于探索阶段，亟需通过本次技术攻关突破关键瓶颈，实现隐私计算技术的深度落地应用。</w:t>
            </w:r>
          </w:p>
        </w:tc>
      </w:tr>
      <w:tr w14:paraId="04B36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F6C51F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任务目标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技术攻关的总体目标、量化技术指标及具体成果交付形式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14F4ECAA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  <w:t>总体目标：</w:t>
            </w:r>
          </w:p>
          <w:p w14:paraId="1327E44B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构建基于隐私计算的证券行业数据交换技术方案，在保障数据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“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可用不可见”的前提下，实现跨机构、跨业务条线数据的安全交换与协同应用，并在联合风控、联合营销等典型业务场景完成落地验证，切实推动数据要素价值释放与业务赋能。</w:t>
            </w:r>
          </w:p>
          <w:p w14:paraId="7C6DBD00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</w:p>
          <w:p w14:paraId="18F8AC34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  <w:t>技术指标：</w:t>
            </w:r>
          </w:p>
          <w:p w14:paraId="16F2FC78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支持大规模数据的隐私求交，求交准确率 ≥ 99%，并有效防范求交过程中的数据泄露风险；</w:t>
            </w:r>
          </w:p>
          <w:p w14:paraId="02CC3634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相较于明文计算，算法精度损失 ≤ 5%；相较于单方计算，联合计算效果关键指标提升 ≥ 20%，其中在联合风控场景下，重点针对客户违约风险、信用等级等进行预测建模，关键指标包括预测准确率（Accuracy）、AUC；在联合营销场景下，重点针对客户类别进行预测建模，关键指标包括预测精准率（Precision）、OvR AUC。</w:t>
            </w:r>
          </w:p>
          <w:p w14:paraId="69AC2D75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在纵向联邦学习的中间参数交互过程中应采用半同态加密算法（如Paillier加密）等方案进行保护，对应同态加密密钥长度应不低于2048位。</w:t>
            </w:r>
          </w:p>
          <w:p w14:paraId="6F481B9D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</w:p>
          <w:p w14:paraId="3C58551E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  <w:t>成果交付：</w:t>
            </w:r>
          </w:p>
          <w:p w14:paraId="23C62CDA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提供可运行的基于隐私计算的证券行业数据交换算法，涵盖数据清洗与标准化、隐私求交、联邦学习等算法的源代码，并提供相应的技术说明文档。上述算法应在联合风控、联合营销等至少一类典型业务场景中完成工程化应用验证，并提供场景应用的测试与分析报告。</w:t>
            </w:r>
          </w:p>
        </w:tc>
      </w:tr>
      <w:tr w14:paraId="225821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C4612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数据集描述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赛题配套数据集的核心信息，清晰说明数据相关属性及配套要求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21A9216B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脱敏情况：为业务脱敏数据与合成数据相结合，已进行严格脱敏处理，去除所有敏感个人身份信息，关键标识字段已进行哈希映射处理。</w:t>
            </w:r>
          </w:p>
          <w:p w14:paraId="7073C987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数据类型：以结构化数据为主，包含少量文本类非结构化数据（如客户备注、风险处置记录等）。与预测对象相对应的标签字段主要包括：（1）联合风控场景的预测标签：客户违约标记（0/1二分类）、信用评级（多分类）；（2）联合营销场景的预测标签：客户类别标签（多分类）。</w:t>
            </w:r>
          </w:p>
          <w:p w14:paraId="3211E651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数据描述：数据集涵盖训练集与测试集，结构化字段涵盖客户基础属性、账户资产状况、交易行为特征、营销触达记录等多维度字段。</w:t>
            </w:r>
          </w:p>
          <w:p w14:paraId="25074112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数据集划分：数据集已根据来源进行虚拟划分，模拟证券公司、银行等多业务主体所持有的差异化特征数据，各参与方之间存在部分共同用户但特征字段存在差异。</w:t>
            </w:r>
          </w:p>
        </w:tc>
      </w:tr>
    </w:tbl>
    <w:p w14:paraId="2A01CDE1">
      <w:pPr>
        <w:rPr>
          <w:rFonts w:hint="eastAsia"/>
          <w:lang w:eastAsia="zh-CN"/>
        </w:rPr>
      </w:pPr>
    </w:p>
    <w:sectPr>
      <w:pgSz w:w="11906" w:h="16838"/>
      <w:pgMar w:top="1134" w:right="850" w:bottom="1134" w:left="1701" w:header="709" w:footer="709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E8E"/>
    <w:rsid w:val="000D7A92"/>
    <w:rsid w:val="00120543"/>
    <w:rsid w:val="001E2503"/>
    <w:rsid w:val="00216915"/>
    <w:rsid w:val="002F4E8E"/>
    <w:rsid w:val="00360DB7"/>
    <w:rsid w:val="003E213F"/>
    <w:rsid w:val="003F7644"/>
    <w:rsid w:val="00410F2C"/>
    <w:rsid w:val="00440808"/>
    <w:rsid w:val="0045513B"/>
    <w:rsid w:val="004D2D2B"/>
    <w:rsid w:val="00524AE3"/>
    <w:rsid w:val="00580E40"/>
    <w:rsid w:val="005F1C77"/>
    <w:rsid w:val="006604A0"/>
    <w:rsid w:val="006C2FA8"/>
    <w:rsid w:val="00747F05"/>
    <w:rsid w:val="00781AB9"/>
    <w:rsid w:val="007B3A46"/>
    <w:rsid w:val="0080398C"/>
    <w:rsid w:val="00854E2A"/>
    <w:rsid w:val="008A2FFA"/>
    <w:rsid w:val="00913D29"/>
    <w:rsid w:val="0099336A"/>
    <w:rsid w:val="00993EF0"/>
    <w:rsid w:val="009F079C"/>
    <w:rsid w:val="00B24A1A"/>
    <w:rsid w:val="00C52F6C"/>
    <w:rsid w:val="00C91C6F"/>
    <w:rsid w:val="00D0126D"/>
    <w:rsid w:val="00E52891"/>
    <w:rsid w:val="00EE280D"/>
    <w:rsid w:val="00F34DC5"/>
    <w:rsid w:val="00F64082"/>
    <w:rsid w:val="00FB511C"/>
    <w:rsid w:val="00FC0FF6"/>
    <w:rsid w:val="054E2A1E"/>
    <w:rsid w:val="0E742EA5"/>
    <w:rsid w:val="1A5276AD"/>
    <w:rsid w:val="3F514D57"/>
    <w:rsid w:val="61E20C6C"/>
    <w:rsid w:val="EEFF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zh-CN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0"/>
      <w:sz w:val="18"/>
      <w:szCs w:val="18"/>
      <w:lang w:val="zh-CN" w:eastAsia="en-US"/>
    </w:rPr>
  </w:style>
  <w:style w:type="character" w:customStyle="1" w:styleId="7">
    <w:name w:val="页脚 字符"/>
    <w:basedOn w:val="5"/>
    <w:link w:val="2"/>
    <w:qFormat/>
    <w:uiPriority w:val="99"/>
    <w:rPr>
      <w:kern w:val="0"/>
      <w:sz w:val="18"/>
      <w:szCs w:val="18"/>
      <w:lang w:val="zh-CN" w:eastAsia="en-US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3129</Words>
  <Characters>3194</Characters>
  <Lines>22</Lines>
  <Paragraphs>6</Paragraphs>
  <TotalTime>150</TotalTime>
  <ScaleCrop>false</ScaleCrop>
  <LinksUpToDate>false</LinksUpToDate>
  <CharactersWithSpaces>3201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2026-04-22T18:06:00Z</dcterms:created>
  <dc:creator>李昊骅 南京大学</dc:creator>
  <cp:lastModifiedBy>郭枫</cp:lastModifiedBy>
  <dcterms:modified xsi:type="dcterms:W3CDTF">2026-05-14T08:11:12Z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eyJoZGlkIjoiZGEyN2M0YzA5MjI3NjZlMzhmYzlkNGQxOTY0NDgzNzgiLCJ1c2VySWQiOiIxNTY2NzcxNjQwIn0=</vt:lpwstr>
  </property>
  <property fmtid="{D5CDD505-2E9C-101B-9397-08002B2CF9AE}" pid="4" name="ICV">
    <vt:lpwstr>E242F5F50B4D4CCEBE37281B5960DD43_12</vt:lpwstr>
  </property>
</Properties>
</file>