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00469">
      <w:pPr>
        <w:spacing w:after="0" w:line="240" w:lineRule="auto"/>
        <w:jc w:val="center"/>
        <w:rPr>
          <w:rFonts w:hint="eastAsia" w:eastAsia="黑体" w:cs="Times New Roman"/>
          <w:b/>
          <w:bCs/>
          <w:sz w:val="44"/>
          <w:szCs w:val="42"/>
          <w:lang w:eastAsia="zh-CN"/>
        </w:rPr>
      </w:pPr>
    </w:p>
    <w:p w14:paraId="69C5E245">
      <w:pPr>
        <w:spacing w:after="0" w:line="240" w:lineRule="auto"/>
        <w:jc w:val="center"/>
        <w:rPr>
          <w:rFonts w:hint="eastAsia" w:eastAsia="黑体" w:cs="Times New Roman"/>
          <w:b/>
          <w:bCs/>
          <w:sz w:val="44"/>
          <w:szCs w:val="42"/>
          <w:lang w:eastAsia="zh-CN"/>
        </w:rPr>
      </w:pPr>
      <w:r>
        <w:rPr>
          <w:rFonts w:eastAsia="黑体" w:cs="Times New Roman"/>
          <w:b/>
          <w:bCs/>
          <w:sz w:val="44"/>
          <w:szCs w:val="42"/>
          <w:lang w:eastAsia="zh-CN"/>
        </w:rPr>
        <w:t>第五届中国研究生金融科技创新大赛</w:t>
      </w:r>
    </w:p>
    <w:p w14:paraId="67865EC2">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5"/>
        <w:tblW w:w="10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14:paraId="558E4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28EE35AF">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173CE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4D88F7DD">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1A99BEE4">
            <w:pPr>
              <w:spacing w:after="0" w:line="240" w:lineRule="auto"/>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江西金融发展集团股份有限公司</w:t>
            </w:r>
          </w:p>
        </w:tc>
      </w:tr>
      <w:tr w14:paraId="338580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17CFC1D6">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184BEB10">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江西省赣州市赣州经济技术开发区香江大道168号综合楼5楼</w:t>
            </w:r>
          </w:p>
        </w:tc>
      </w:tr>
      <w:tr w14:paraId="2F6FC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23A951F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5B8709D4">
            <w:pPr>
              <w:spacing w:before="120" w:beforeLines="50" w:after="120" w:afterLines="50" w:line="240" w:lineRule="auto"/>
              <w:jc w:val="both"/>
              <w:rPr>
                <w:rFonts w:hint="eastAsia"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江西金融发展集团股份有限公司于2016年6月经江西省人民政府批准设立，是一家以国有股份为主（国有占比超60%）的混合所有制综合金融服务集团，注册资本及实收资本均为18.2亿元。集团充分发挥“混合所有制+市场化经营”的双重优势，围绕科技金融、绿色金融、普惠金融、养老金融、数字金融五篇大文章推进战略布局，以“担保+投资”为</w:t>
            </w:r>
            <w:bookmarkStart w:id="0" w:name="_GoBack"/>
            <w:bookmarkEnd w:id="0"/>
            <w:r>
              <w:rPr>
                <w:rFonts w:hint="eastAsia" w:ascii="Times New Roman" w:hAnsi="Times New Roman" w:eastAsia="仿宋" w:cs="Times New Roman"/>
                <w:color w:val="000000"/>
                <w:sz w:val="28"/>
                <w:szCs w:val="28"/>
                <w:lang w:val="en-US" w:eastAsia="zh-CN"/>
              </w:rPr>
              <w:t>核心业务模式，创新推出“投保贷租管联动”特色服务体系，致力于成为国内领先的全国性、智能化、创新驱动的综合金融服务集团，持续践行金融普惠价值。</w:t>
            </w:r>
          </w:p>
        </w:tc>
      </w:tr>
      <w:tr w14:paraId="49BB5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6EF059CE">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15B231F1">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7032B900">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李芳</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4F015A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697BB428">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项目经理</w:t>
            </w:r>
          </w:p>
        </w:tc>
      </w:tr>
      <w:tr w14:paraId="54B3F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3257D409">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6E6E1C35">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noWrap/>
            <w:vAlign w:val="center"/>
          </w:tcPr>
          <w:p w14:paraId="113D0D46">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18179681284</w:t>
            </w:r>
          </w:p>
        </w:tc>
        <w:tc>
          <w:tcPr>
            <w:tcW w:w="1346" w:type="dxa"/>
            <w:tcBorders>
              <w:top w:val="single" w:color="000000" w:sz="4" w:space="0"/>
              <w:left w:val="single" w:color="000000" w:sz="4" w:space="0"/>
              <w:bottom w:val="single" w:color="000000" w:sz="4" w:space="0"/>
              <w:right w:val="single" w:color="000000" w:sz="4" w:space="0"/>
            </w:tcBorders>
            <w:noWrap/>
            <w:vAlign w:val="center"/>
          </w:tcPr>
          <w:p w14:paraId="6E32FF2F">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noWrap/>
            <w:vAlign w:val="center"/>
          </w:tcPr>
          <w:p w14:paraId="3574963A">
            <w:pPr>
              <w:spacing w:after="0" w:line="240" w:lineRule="auto"/>
              <w:jc w:val="center"/>
              <w:rPr>
                <w:rFonts w:hint="default" w:ascii="Times New Roman" w:hAnsi="Times New Roman" w:eastAsia="仿宋" w:cs="Times New Roman"/>
                <w:color w:val="000000"/>
                <w:sz w:val="28"/>
                <w:szCs w:val="28"/>
                <w:lang w:val="en-US" w:eastAsia="zh-CN"/>
              </w:rPr>
            </w:pPr>
            <w:r>
              <w:rPr>
                <w:rFonts w:hint="eastAsia" w:ascii="Times New Roman" w:hAnsi="Times New Roman" w:eastAsia="仿宋" w:cs="Times New Roman"/>
                <w:color w:val="000000"/>
                <w:sz w:val="28"/>
                <w:szCs w:val="28"/>
                <w:lang w:val="en-US" w:eastAsia="zh-CN"/>
              </w:rPr>
              <w:t>lifang@ihanchen.com</w:t>
            </w:r>
          </w:p>
        </w:tc>
      </w:tr>
      <w:tr w14:paraId="3BFD5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16CFC676">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0C7C5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01FFBAA0">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4AA73A81">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基于知识图谱与图神经网络的产业链上下游企业白名单智能筛选模型</w:t>
            </w:r>
          </w:p>
        </w:tc>
      </w:tr>
      <w:tr w14:paraId="096DF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184C253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14:paraId="3C3CF41E">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val="en-US" w:eastAsia="zh-CN"/>
              </w:rPr>
              <w:t>在复杂产业链协同场景下，基于企业工商、交易、舆情、司法等多源异构数据，构建知识图谱与图神经网络（GNN）融合模型，解决传统方法对供应链长尾端风险穿透能力弱、关联风险识别难、动态适配性差的问题，为产业链金融信贷审批提供精准、高效、可解释的白名单智能筛选与风险监控能力。</w:t>
            </w:r>
          </w:p>
        </w:tc>
      </w:tr>
      <w:tr w14:paraId="62A319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678A1CD">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业务场景描述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ascii="Times New Roman" w:hAnsi="Times New Roman" w:eastAsia="仿宋" w:cs="Times New Roman"/>
                <w:color w:val="000000"/>
                <w:sz w:val="28"/>
                <w:szCs w:val="28"/>
                <w:lang w:eastAsia="zh-CN"/>
              </w:rPr>
              <w:t>）</w:t>
            </w:r>
          </w:p>
          <w:p w14:paraId="4DE5675F">
            <w:pPr>
              <w:spacing w:before="120" w:beforeLines="50" w:after="120" w:afterLines="50" w:line="240" w:lineRule="auto"/>
              <w:ind w:firstLine="560" w:firstLineChars="200"/>
              <w:jc w:val="both"/>
              <w:rPr>
                <w:rFonts w:hint="eastAsia" w:ascii="仿宋" w:hAnsi="仿宋" w:eastAsia="仿宋" w:cs="Times New Roman"/>
                <w:color w:val="000000"/>
                <w:sz w:val="28"/>
                <w:szCs w:val="28"/>
                <w:lang w:eastAsia="zh-CN"/>
              </w:rPr>
            </w:pPr>
            <w:r>
              <w:rPr>
                <w:rFonts w:ascii="仿宋" w:hAnsi="仿宋" w:eastAsia="仿宋" w:cs="Times New Roman"/>
                <w:color w:val="000000"/>
                <w:sz w:val="28"/>
                <w:szCs w:val="28"/>
                <w:lang w:eastAsia="zh-CN"/>
              </w:rPr>
              <w:t>在产业链金融与信贷审批业务中，商业银行迫切需要通过核心企业“以点带面”批量拓展上下游优质中小微客户（即形成“白名单”），以解决普惠金融“获客难”与“风控难”的双重困境。当前业务面临以下核心瓶颈：</w:t>
            </w:r>
          </w:p>
          <w:p w14:paraId="742D6B47">
            <w:pPr>
              <w:numPr>
                <w:ilvl w:val="0"/>
                <w:numId w:val="1"/>
              </w:numPr>
              <w:spacing w:before="120" w:beforeLines="50" w:after="120" w:afterLines="50" w:line="240" w:lineRule="auto"/>
              <w:ind w:left="-15" w:leftChars="-7" w:firstLine="562" w:firstLineChars="200"/>
              <w:jc w:val="both"/>
              <w:rPr>
                <w:rFonts w:hint="eastAsia" w:ascii="仿宋" w:hAnsi="仿宋" w:eastAsia="仿宋" w:cs="Times New Roman"/>
                <w:color w:val="000000"/>
                <w:sz w:val="28"/>
                <w:szCs w:val="28"/>
                <w:lang w:val="en-US" w:eastAsia="zh-CN"/>
              </w:rPr>
            </w:pPr>
            <w:r>
              <w:rPr>
                <w:rFonts w:ascii="仿宋" w:hAnsi="仿宋" w:eastAsia="仿宋" w:cs="Times New Roman"/>
                <w:b/>
                <w:bCs/>
                <w:color w:val="000000"/>
                <w:sz w:val="28"/>
                <w:szCs w:val="28"/>
                <w:lang w:val="en-US" w:eastAsia="zh-CN"/>
              </w:rPr>
              <w:t>长尾端数据孤岛</w:t>
            </w:r>
            <w:r>
              <w:rPr>
                <w:rFonts w:ascii="仿宋" w:hAnsi="仿宋" w:eastAsia="仿宋" w:cs="Times New Roman"/>
                <w:color w:val="000000"/>
                <w:sz w:val="28"/>
                <w:szCs w:val="28"/>
                <w:lang w:val="en-US" w:eastAsia="zh-CN"/>
              </w:rPr>
              <w:t>：大量二级至N级供应商/经销商与核心企业无直接交易或股权关系，人工实地调研与传统报表审核成本极高，银行难以识别产业链末端真实经营状况。</w:t>
            </w:r>
          </w:p>
          <w:p w14:paraId="0D7968C6">
            <w:pPr>
              <w:numPr>
                <w:ilvl w:val="0"/>
                <w:numId w:val="1"/>
              </w:numPr>
              <w:spacing w:before="120" w:beforeLines="50" w:after="120" w:afterLines="50" w:line="240" w:lineRule="auto"/>
              <w:ind w:left="-15" w:leftChars="-7" w:firstLine="562" w:firstLineChars="200"/>
              <w:jc w:val="both"/>
              <w:rPr>
                <w:rFonts w:hint="eastAsia" w:ascii="仿宋" w:hAnsi="仿宋" w:eastAsia="仿宋" w:cs="Times New Roman"/>
                <w:color w:val="000000"/>
                <w:sz w:val="28"/>
                <w:szCs w:val="28"/>
                <w:lang w:val="en-US" w:eastAsia="zh-CN"/>
              </w:rPr>
            </w:pPr>
            <w:r>
              <w:rPr>
                <w:rFonts w:ascii="仿宋" w:hAnsi="仿宋" w:eastAsia="仿宋" w:cs="Times New Roman"/>
                <w:b/>
                <w:bCs/>
                <w:color w:val="000000"/>
                <w:sz w:val="28"/>
                <w:szCs w:val="28"/>
                <w:lang w:val="en-US" w:eastAsia="zh-CN"/>
              </w:rPr>
              <w:t>风险的隐蔽性与传导性</w:t>
            </w:r>
            <w:r>
              <w:rPr>
                <w:rFonts w:ascii="仿宋" w:hAnsi="仿宋" w:eastAsia="仿宋" w:cs="Times New Roman"/>
                <w:color w:val="000000"/>
                <w:sz w:val="28"/>
                <w:szCs w:val="28"/>
                <w:lang w:val="en-US" w:eastAsia="zh-CN"/>
              </w:rPr>
              <w:t>：供应链潜在风险藏匿于复杂交易网络，传统单企业指标评价体系无法识别风险“网状”传导路径，易遗漏关联欺诈、经营恶化等隐患。</w:t>
            </w:r>
          </w:p>
          <w:p w14:paraId="6FC1388B">
            <w:pPr>
              <w:numPr>
                <w:ilvl w:val="0"/>
                <w:numId w:val="1"/>
              </w:numPr>
              <w:spacing w:before="120" w:beforeLines="50" w:after="120" w:afterLines="50" w:line="240" w:lineRule="auto"/>
              <w:ind w:left="-15" w:leftChars="-7" w:firstLine="562" w:firstLineChars="200"/>
              <w:jc w:val="both"/>
              <w:rPr>
                <w:rFonts w:hint="eastAsia" w:ascii="仿宋" w:hAnsi="仿宋" w:eastAsia="仿宋" w:cs="Times New Roman"/>
                <w:color w:val="000000"/>
                <w:sz w:val="28"/>
                <w:szCs w:val="28"/>
                <w:lang w:val="en-US" w:eastAsia="zh-CN"/>
              </w:rPr>
            </w:pPr>
            <w:r>
              <w:rPr>
                <w:rFonts w:ascii="仿宋" w:hAnsi="仿宋" w:eastAsia="仿宋" w:cs="Times New Roman"/>
                <w:b/>
                <w:bCs/>
                <w:color w:val="000000"/>
                <w:sz w:val="28"/>
                <w:szCs w:val="28"/>
                <w:lang w:val="en-US" w:eastAsia="zh-CN"/>
              </w:rPr>
              <w:t>审批效率与滞后性</w:t>
            </w:r>
            <w:r>
              <w:rPr>
                <w:rFonts w:ascii="仿宋" w:hAnsi="仿宋" w:eastAsia="仿宋" w:cs="Times New Roman"/>
                <w:color w:val="000000"/>
                <w:sz w:val="28"/>
                <w:szCs w:val="28"/>
                <w:lang w:val="en-US" w:eastAsia="zh-CN"/>
              </w:rPr>
              <w:t>：现有白名单筛选依赖静态财报与主观经验，更新频率低，无法适应产业链动态调整，授信审批周期长，难以在贷前精准拦截隐蔽性组团欺诈风险。</w:t>
            </w:r>
          </w:p>
        </w:tc>
      </w:tr>
      <w:tr w14:paraId="65883C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63D53E41">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ascii="Times New Roman" w:hAnsi="Times New Roman" w:eastAsia="仿宋" w:cs="Times New Roman"/>
                <w:color w:val="000000"/>
                <w:sz w:val="28"/>
                <w:szCs w:val="28"/>
                <w:lang w:eastAsia="zh-CN"/>
              </w:rPr>
              <w:t>）</w:t>
            </w:r>
          </w:p>
          <w:p w14:paraId="5AD78D3B">
            <w:pPr>
              <w:numPr>
                <w:ilvl w:val="0"/>
                <w:numId w:val="2"/>
              </w:numPr>
              <w:tabs>
                <w:tab w:val="clear" w:pos="720"/>
              </w:tabs>
              <w:spacing w:before="120" w:beforeLines="50" w:after="120" w:afterLines="50" w:line="240" w:lineRule="auto"/>
              <w:ind w:left="29" w:firstLine="567"/>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多源</w:t>
            </w:r>
            <w:r>
              <w:rPr>
                <w:rFonts w:ascii="仿宋" w:hAnsi="仿宋" w:eastAsia="仿宋" w:cs="Times New Roman"/>
                <w:b/>
                <w:bCs/>
                <w:color w:val="000000"/>
                <w:sz w:val="28"/>
                <w:szCs w:val="28"/>
                <w:lang w:val="en-US" w:eastAsia="zh-CN"/>
              </w:rPr>
              <w:t>异构</w:t>
            </w:r>
            <w:r>
              <w:rPr>
                <w:rFonts w:ascii="Times New Roman" w:hAnsi="Times New Roman" w:eastAsia="仿宋" w:cs="Times New Roman"/>
                <w:b/>
                <w:bCs/>
                <w:color w:val="000000"/>
                <w:sz w:val="28"/>
                <w:szCs w:val="28"/>
                <w:lang w:val="en-US" w:eastAsia="zh-CN"/>
              </w:rPr>
              <w:t>产业链数据融合与表征难题</w:t>
            </w:r>
          </w:p>
          <w:p w14:paraId="1A51FCB5">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产业链数据包含工商股权（结构化）、发票交易（半结构化）、舆情新闻（非结构化）等多模态信息，现有方法难以统一建模，存在数据对齐难、信息碎片化问题，无法构建高质量企业经营知识图谱</w:t>
            </w:r>
            <w:r>
              <w:rPr>
                <w:rFonts w:hint="eastAsia" w:ascii="Times New Roman" w:hAnsi="Times New Roman" w:eastAsia="仿宋" w:cs="Times New Roman"/>
                <w:color w:val="000000"/>
                <w:sz w:val="28"/>
                <w:szCs w:val="28"/>
                <w:lang w:val="en-US" w:eastAsia="zh-CN"/>
              </w:rPr>
              <w:t>，</w:t>
            </w:r>
            <w:r>
              <w:rPr>
                <w:rFonts w:ascii="Times New Roman" w:hAnsi="Times New Roman" w:eastAsia="仿宋" w:cs="Times New Roman"/>
                <w:color w:val="000000"/>
                <w:sz w:val="28"/>
                <w:szCs w:val="28"/>
                <w:lang w:val="en-US" w:eastAsia="zh-CN"/>
              </w:rPr>
              <w:t>面向产业链金融的轻量化融合方案仍缺失。</w:t>
            </w:r>
          </w:p>
          <w:p w14:paraId="56587149">
            <w:pPr>
              <w:numPr>
                <w:ilvl w:val="0"/>
                <w:numId w:val="2"/>
              </w:numPr>
              <w:tabs>
                <w:tab w:val="clear" w:pos="720"/>
              </w:tabs>
              <w:spacing w:before="120" w:beforeLines="50" w:after="120" w:afterLines="50" w:line="240" w:lineRule="auto"/>
              <w:ind w:left="29" w:firstLine="567"/>
              <w:jc w:val="both"/>
              <w:rPr>
                <w:rFonts w:ascii="Times New Roman" w:hAnsi="Times New Roman" w:eastAsia="仿宋" w:cs="Times New Roman"/>
                <w:color w:val="000000"/>
                <w:sz w:val="28"/>
                <w:szCs w:val="28"/>
                <w:lang w:val="en-US" w:eastAsia="zh-CN"/>
              </w:rPr>
            </w:pPr>
            <w:r>
              <w:rPr>
                <w:rFonts w:ascii="仿宋" w:hAnsi="仿宋" w:eastAsia="仿宋" w:cs="Times New Roman"/>
                <w:b/>
                <w:bCs/>
                <w:color w:val="000000"/>
                <w:sz w:val="28"/>
                <w:szCs w:val="28"/>
                <w:lang w:val="en-US" w:eastAsia="zh-CN"/>
              </w:rPr>
              <w:t>长距离供应</w:t>
            </w:r>
            <w:r>
              <w:rPr>
                <w:rFonts w:ascii="Times New Roman" w:hAnsi="Times New Roman" w:eastAsia="仿宋" w:cs="Times New Roman"/>
                <w:b/>
                <w:bCs/>
                <w:color w:val="000000"/>
                <w:sz w:val="28"/>
                <w:szCs w:val="28"/>
                <w:lang w:val="en-US" w:eastAsia="zh-CN"/>
              </w:rPr>
              <w:t>链风险 “隐性” 推理难题</w:t>
            </w:r>
          </w:p>
          <w:p w14:paraId="19FEECF1">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风险信号经多层交易传导后影响核心企业，传统图分析算法仅能静态拓扑传播，现有 GNN 普遍存在 “过平滑” 问题，难以捕捉 2 跳以上深层依赖关系，模型 AUC 普遍低于 0.75</w:t>
            </w:r>
            <w:r>
              <w:rPr>
                <w:rFonts w:hint="eastAsia" w:ascii="Times New Roman" w:hAnsi="Times New Roman" w:eastAsia="仿宋" w:cs="Times New Roman"/>
                <w:color w:val="000000"/>
                <w:sz w:val="28"/>
                <w:szCs w:val="28"/>
                <w:lang w:val="en-US" w:eastAsia="zh-CN"/>
              </w:rPr>
              <w:t>，</w:t>
            </w:r>
            <w:r>
              <w:rPr>
                <w:rFonts w:ascii="Times New Roman" w:hAnsi="Times New Roman" w:eastAsia="仿宋" w:cs="Times New Roman"/>
                <w:color w:val="000000"/>
                <w:sz w:val="28"/>
                <w:szCs w:val="28"/>
                <w:lang w:val="en-US" w:eastAsia="zh-CN"/>
              </w:rPr>
              <w:t>未针对产业链风险传导做专项优化。</w:t>
            </w:r>
          </w:p>
          <w:p w14:paraId="63D490D9">
            <w:pPr>
              <w:numPr>
                <w:ilvl w:val="0"/>
                <w:numId w:val="2"/>
              </w:numPr>
              <w:tabs>
                <w:tab w:val="clear" w:pos="720"/>
              </w:tabs>
              <w:spacing w:before="120" w:beforeLines="50" w:after="120" w:afterLines="50" w:line="240" w:lineRule="auto"/>
              <w:ind w:left="29" w:firstLine="567"/>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动态</w:t>
            </w:r>
            <w:r>
              <w:rPr>
                <w:rFonts w:ascii="仿宋" w:hAnsi="仿宋" w:eastAsia="仿宋" w:cs="Times New Roman"/>
                <w:b/>
                <w:bCs/>
                <w:color w:val="000000"/>
                <w:sz w:val="28"/>
                <w:szCs w:val="28"/>
                <w:lang w:val="en-US" w:eastAsia="zh-CN"/>
              </w:rPr>
              <w:t>环境</w:t>
            </w:r>
            <w:r>
              <w:rPr>
                <w:rFonts w:ascii="Times New Roman" w:hAnsi="Times New Roman" w:eastAsia="仿宋" w:cs="Times New Roman"/>
                <w:b/>
                <w:bCs/>
                <w:color w:val="000000"/>
                <w:sz w:val="28"/>
                <w:szCs w:val="28"/>
                <w:lang w:val="en-US" w:eastAsia="zh-CN"/>
              </w:rPr>
              <w:t>下模型可解释性与冷启动难题</w:t>
            </w:r>
          </w:p>
          <w:p w14:paraId="06C242C5">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深度黑盒模型合规性不足，无法向信审人员解释筛选依据；新兴产业链缺乏历史标注样本，监督学习模型冷启动效果极差</w:t>
            </w:r>
            <w:r>
              <w:rPr>
                <w:rFonts w:hint="eastAsia" w:ascii="Times New Roman" w:hAnsi="Times New Roman" w:eastAsia="仿宋" w:cs="Times New Roman"/>
                <w:color w:val="000000"/>
                <w:sz w:val="28"/>
                <w:szCs w:val="28"/>
                <w:lang w:val="en-US" w:eastAsia="zh-CN"/>
              </w:rPr>
              <w:t>，难以</w:t>
            </w:r>
            <w:r>
              <w:rPr>
                <w:rFonts w:ascii="Times New Roman" w:hAnsi="Times New Roman" w:eastAsia="仿宋" w:cs="Times New Roman"/>
                <w:color w:val="000000"/>
                <w:sz w:val="28"/>
                <w:szCs w:val="28"/>
                <w:lang w:val="en-US" w:eastAsia="zh-CN"/>
              </w:rPr>
              <w:t>落地产业链白名单场景。</w:t>
            </w:r>
          </w:p>
        </w:tc>
      </w:tr>
      <w:tr w14:paraId="7C789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36824E81">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14:paraId="2A954A03">
            <w:pPr>
              <w:spacing w:before="120" w:beforeLines="50" w:after="120" w:afterLines="50" w:line="240" w:lineRule="auto"/>
              <w:ind w:left="216" w:leftChars="98" w:firstLine="281" w:firstLineChars="100"/>
              <w:jc w:val="both"/>
              <w:rPr>
                <w:rFonts w:ascii="Times New Roman" w:hAnsi="Times New Roman" w:eastAsia="仿宋" w:cs="Times New Roman"/>
                <w:b/>
                <w:bCs/>
                <w:color w:val="000000"/>
                <w:sz w:val="28"/>
                <w:szCs w:val="28"/>
                <w:lang w:eastAsia="zh-CN"/>
              </w:rPr>
            </w:pPr>
            <w:r>
              <w:rPr>
                <w:rFonts w:ascii="Times New Roman" w:hAnsi="Times New Roman" w:eastAsia="仿宋" w:cs="Times New Roman"/>
                <w:b/>
                <w:bCs/>
                <w:color w:val="000000"/>
                <w:sz w:val="28"/>
                <w:szCs w:val="28"/>
                <w:lang w:eastAsia="zh-CN"/>
              </w:rPr>
              <w:t>任务1：多源异构数据融合与产业链知识图谱构建</w:t>
            </w:r>
          </w:p>
          <w:p w14:paraId="61D1D523">
            <w:pPr>
              <w:spacing w:before="120" w:beforeLines="50" w:after="120" w:afterLines="50" w:line="240" w:lineRule="auto"/>
              <w:ind w:left="-117" w:leftChars="-53" w:firstLine="562"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具体工作：</w:t>
            </w:r>
            <w:r>
              <w:rPr>
                <w:rFonts w:ascii="Times New Roman" w:hAnsi="Times New Roman" w:eastAsia="仿宋" w:cs="Times New Roman"/>
                <w:color w:val="000000"/>
                <w:sz w:val="28"/>
                <w:szCs w:val="28"/>
                <w:lang w:val="en-US" w:eastAsia="zh-CN"/>
              </w:rPr>
              <w:t>整合工商、司法、发票交易、招投标、舆情等多源数据，设计数据预处理与融合方案，构建包含 “企业、法人、产品、交易、风险” 等多类型实体的产业链知识图谱。</w:t>
            </w:r>
          </w:p>
          <w:p w14:paraId="242ACECC">
            <w:pPr>
              <w:spacing w:before="120" w:beforeLines="50" w:after="120" w:afterLines="50" w:line="240" w:lineRule="auto"/>
              <w:ind w:left="-4" w:leftChars="-2" w:firstLine="562"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成果形式</w:t>
            </w:r>
            <w:r>
              <w:rPr>
                <w:rFonts w:ascii="Times New Roman" w:hAnsi="Times New Roman" w:eastAsia="仿宋" w:cs="Times New Roman"/>
                <w:color w:val="000000"/>
                <w:sz w:val="28"/>
                <w:szCs w:val="28"/>
                <w:lang w:val="en-US" w:eastAsia="zh-CN"/>
              </w:rPr>
              <w:t>：知识图谱构建代码、数据字典文档、图谱可视化与基础查询功能。</w:t>
            </w:r>
          </w:p>
          <w:p w14:paraId="1905E442">
            <w:pPr>
              <w:spacing w:before="120" w:beforeLines="50" w:after="120" w:afterLines="50" w:line="240" w:lineRule="auto"/>
              <w:ind w:firstLine="562" w:firstLineChars="200"/>
              <w:jc w:val="both"/>
              <w:rPr>
                <w:rFonts w:ascii="Times New Roman" w:hAnsi="Times New Roman" w:eastAsia="仿宋" w:cs="Times New Roman"/>
                <w:b/>
                <w:bCs/>
                <w:color w:val="000000"/>
                <w:sz w:val="28"/>
                <w:szCs w:val="28"/>
                <w:lang w:val="en-US" w:eastAsia="zh-CN"/>
              </w:rPr>
            </w:pPr>
            <w:r>
              <w:rPr>
                <w:rFonts w:ascii="Times New Roman" w:hAnsi="Times New Roman" w:eastAsia="仿宋" w:cs="Times New Roman"/>
                <w:b/>
                <w:bCs/>
                <w:color w:val="000000"/>
                <w:sz w:val="28"/>
                <w:szCs w:val="28"/>
                <w:lang w:eastAsia="zh-CN"/>
              </w:rPr>
              <w:t>任务2：基于改进图神经网络的风险传导与白名单评分模型设计</w:t>
            </w:r>
            <w:r>
              <w:rPr>
                <w:rFonts w:ascii="Times New Roman" w:hAnsi="Times New Roman" w:eastAsia="仿宋" w:cs="Times New Roman"/>
                <w:color w:val="000000"/>
                <w:sz w:val="28"/>
                <w:szCs w:val="28"/>
                <w:lang w:eastAsia="zh-CN"/>
              </w:rPr>
              <w:br w:type="textWrapping"/>
            </w:r>
            <w:r>
              <w:rPr>
                <w:rFonts w:hint="eastAsia" w:ascii="Times New Roman" w:hAnsi="Times New Roman" w:eastAsia="仿宋" w:cs="Times New Roman"/>
                <w:b/>
                <w:bCs/>
                <w:color w:val="000000"/>
                <w:sz w:val="28"/>
                <w:szCs w:val="28"/>
                <w:lang w:eastAsia="zh-CN"/>
              </w:rPr>
              <w:t xml:space="preserve">    </w:t>
            </w:r>
            <w:r>
              <w:rPr>
                <w:rFonts w:ascii="Times New Roman" w:hAnsi="Times New Roman" w:eastAsia="仿宋" w:cs="Times New Roman"/>
                <w:b/>
                <w:bCs/>
                <w:color w:val="000000"/>
                <w:sz w:val="28"/>
                <w:szCs w:val="28"/>
                <w:lang w:val="en-US" w:eastAsia="zh-CN"/>
              </w:rPr>
              <w:t>具体工作：</w:t>
            </w:r>
            <w:r>
              <w:rPr>
                <w:rFonts w:ascii="Times New Roman" w:hAnsi="Times New Roman" w:eastAsia="仿宋" w:cs="Times New Roman"/>
                <w:color w:val="000000"/>
                <w:sz w:val="28"/>
                <w:szCs w:val="28"/>
                <w:lang w:val="en-US" w:eastAsia="zh-CN"/>
              </w:rPr>
              <w:t>借鉴图注意力、异构图</w:t>
            </w:r>
            <w:r>
              <w:rPr>
                <w:rFonts w:hint="eastAsia" w:ascii="Times New Roman" w:hAnsi="Times New Roman" w:eastAsia="仿宋" w:cs="Times New Roman"/>
                <w:color w:val="000000"/>
                <w:sz w:val="28"/>
                <w:szCs w:val="28"/>
                <w:lang w:val="en-US" w:eastAsia="zh-CN"/>
              </w:rPr>
              <w:t>和</w:t>
            </w:r>
            <w:r>
              <w:rPr>
                <w:rFonts w:ascii="Times New Roman" w:hAnsi="Times New Roman" w:eastAsia="仿宋" w:cs="Times New Roman"/>
                <w:color w:val="000000"/>
                <w:sz w:val="28"/>
                <w:szCs w:val="28"/>
                <w:lang w:val="en-US" w:eastAsia="zh-CN"/>
              </w:rPr>
              <w:t>超图</w:t>
            </w:r>
            <w:r>
              <w:rPr>
                <w:rFonts w:hint="eastAsia" w:ascii="Times New Roman" w:hAnsi="Times New Roman" w:eastAsia="仿宋" w:cs="Times New Roman"/>
                <w:color w:val="000000"/>
                <w:sz w:val="28"/>
                <w:szCs w:val="28"/>
                <w:lang w:val="en-US" w:eastAsia="zh-CN"/>
              </w:rPr>
              <w:t>等</w:t>
            </w:r>
            <w:r>
              <w:rPr>
                <w:rFonts w:ascii="Times New Roman" w:hAnsi="Times New Roman" w:eastAsia="仿宋" w:cs="Times New Roman"/>
                <w:color w:val="000000"/>
                <w:sz w:val="28"/>
                <w:szCs w:val="28"/>
                <w:lang w:val="en-US" w:eastAsia="zh-CN"/>
              </w:rPr>
              <w:t>神经网络，设计适配产业链的改进 GNN 模型，捕捉企业间多跳复杂影响关系，实现风险评估与白名单推荐评分。</w:t>
            </w:r>
            <w:r>
              <w:rPr>
                <w:rFonts w:ascii="Times New Roman" w:hAnsi="Times New Roman" w:eastAsia="仿宋" w:cs="Times New Roman"/>
                <w:color w:val="000000"/>
                <w:sz w:val="28"/>
                <w:szCs w:val="28"/>
                <w:lang w:eastAsia="zh-CN"/>
              </w:rPr>
              <w:br w:type="textWrapping"/>
            </w:r>
            <w:r>
              <w:rPr>
                <w:rFonts w:hint="eastAsia" w:ascii="Times New Roman" w:hAnsi="Times New Roman" w:eastAsia="仿宋" w:cs="Times New Roman"/>
                <w:color w:val="000000"/>
                <w:sz w:val="28"/>
                <w:szCs w:val="28"/>
                <w:lang w:eastAsia="zh-CN"/>
              </w:rPr>
              <w:t xml:space="preserve">    </w:t>
            </w:r>
            <w:r>
              <w:rPr>
                <w:rFonts w:ascii="Times New Roman" w:hAnsi="Times New Roman" w:eastAsia="仿宋" w:cs="Times New Roman"/>
                <w:b/>
                <w:bCs/>
                <w:color w:val="000000"/>
                <w:sz w:val="28"/>
                <w:szCs w:val="28"/>
                <w:lang w:val="en-US" w:eastAsia="zh-CN"/>
              </w:rPr>
              <w:t>成果形式：</w:t>
            </w:r>
            <w:r>
              <w:rPr>
                <w:rFonts w:ascii="Times New Roman" w:hAnsi="Times New Roman" w:eastAsia="仿宋" w:cs="Times New Roman"/>
                <w:color w:val="000000"/>
                <w:sz w:val="28"/>
                <w:szCs w:val="28"/>
                <w:lang w:val="en-US" w:eastAsia="zh-CN"/>
              </w:rPr>
              <w:t>模型训练代码、推理 API 接口、多跳邻居信息处理核心逻辑说明。</w:t>
            </w:r>
          </w:p>
          <w:p w14:paraId="3B612FDC">
            <w:pPr>
              <w:spacing w:before="120" w:beforeLines="50" w:after="120" w:afterLines="50" w:line="240" w:lineRule="auto"/>
              <w:ind w:firstLine="562" w:firstLineChars="200"/>
              <w:jc w:val="both"/>
              <w:rPr>
                <w:rFonts w:ascii="Times New Roman" w:hAnsi="Times New Roman" w:eastAsia="仿宋" w:cs="Times New Roman"/>
                <w:b/>
                <w:bCs/>
                <w:color w:val="000000"/>
                <w:sz w:val="28"/>
                <w:szCs w:val="28"/>
                <w:lang w:eastAsia="zh-CN"/>
              </w:rPr>
            </w:pPr>
            <w:r>
              <w:rPr>
                <w:rFonts w:ascii="Times New Roman" w:hAnsi="Times New Roman" w:eastAsia="仿宋" w:cs="Times New Roman"/>
                <w:b/>
                <w:bCs/>
                <w:color w:val="000000"/>
                <w:sz w:val="28"/>
                <w:szCs w:val="28"/>
                <w:lang w:val="en-US" w:eastAsia="zh-CN"/>
              </w:rPr>
              <w:t>任务3：</w:t>
            </w:r>
            <w:r>
              <w:rPr>
                <w:rFonts w:ascii="Times New Roman" w:hAnsi="Times New Roman" w:eastAsia="仿宋" w:cs="Times New Roman"/>
                <w:b/>
                <w:bCs/>
                <w:color w:val="000000"/>
                <w:sz w:val="28"/>
                <w:szCs w:val="28"/>
                <w:lang w:eastAsia="zh-CN"/>
              </w:rPr>
              <w:t>融合注意力机制的可解释性分析与小样本/零样本学习探索</w:t>
            </w:r>
          </w:p>
          <w:p w14:paraId="4F7DAFA7">
            <w:pPr>
              <w:spacing w:before="120" w:beforeLines="50" w:after="120" w:afterLines="50" w:line="240" w:lineRule="auto"/>
              <w:ind w:firstLine="562" w:firstLineChars="200"/>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具体工作：</w:t>
            </w:r>
            <w:r>
              <w:rPr>
                <w:rFonts w:ascii="Times New Roman" w:hAnsi="Times New Roman" w:eastAsia="仿宋" w:cs="Times New Roman"/>
                <w:color w:val="000000"/>
                <w:sz w:val="28"/>
                <w:szCs w:val="28"/>
                <w:lang w:val="en-US" w:eastAsia="zh-CN"/>
              </w:rPr>
              <w:t>引入图注意力机制与事后解释算法，输出风险传导关键路径；结合元学习、迁移学习与知识感知推荐，解决新兴产业链冷启动问题。</w:t>
            </w:r>
          </w:p>
          <w:p w14:paraId="6C0AFC29">
            <w:pPr>
              <w:spacing w:before="120" w:beforeLines="50" w:after="120" w:afterLines="50" w:line="240" w:lineRule="auto"/>
              <w:ind w:firstLine="562" w:firstLineChars="200"/>
              <w:jc w:val="both"/>
              <w:rPr>
                <w:rFonts w:ascii="Times New Roman" w:hAnsi="Times New Roman" w:eastAsia="仿宋" w:cs="Times New Roman"/>
                <w:b/>
                <w:bCs/>
                <w:color w:val="000000"/>
                <w:sz w:val="28"/>
                <w:szCs w:val="28"/>
                <w:lang w:val="en-US" w:eastAsia="zh-CN"/>
              </w:rPr>
            </w:pPr>
            <w:r>
              <w:rPr>
                <w:rFonts w:ascii="Times New Roman" w:hAnsi="Times New Roman" w:eastAsia="仿宋" w:cs="Times New Roman"/>
                <w:b/>
                <w:bCs/>
                <w:color w:val="000000"/>
                <w:sz w:val="28"/>
                <w:szCs w:val="28"/>
                <w:lang w:val="en-US" w:eastAsia="zh-CN"/>
              </w:rPr>
              <w:t>成果形式：</w:t>
            </w:r>
            <w:r>
              <w:rPr>
                <w:rFonts w:ascii="Times New Roman" w:hAnsi="Times New Roman" w:eastAsia="仿宋" w:cs="Times New Roman"/>
                <w:color w:val="000000"/>
                <w:sz w:val="28"/>
                <w:szCs w:val="28"/>
                <w:lang w:val="en-US" w:eastAsia="zh-CN"/>
              </w:rPr>
              <w:t>可解释性分析模块代码、演示 PPT、小样本鲁棒性技术验证报告。</w:t>
            </w:r>
          </w:p>
        </w:tc>
      </w:tr>
      <w:tr w14:paraId="1B39C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3857F57E">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14:paraId="79EBCE57">
            <w:pPr>
              <w:numPr>
                <w:ilvl w:val="0"/>
                <w:numId w:val="3"/>
              </w:numPr>
              <w:tabs>
                <w:tab w:val="clear" w:pos="720"/>
              </w:tabs>
              <w:spacing w:before="120" w:beforeLines="50" w:after="120" w:afterLines="50" w:line="240" w:lineRule="auto"/>
              <w:ind w:left="28" w:firstLine="567"/>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理论研究基础</w:t>
            </w:r>
            <w:r>
              <w:rPr>
                <w:rFonts w:ascii="Times New Roman" w:hAnsi="Times New Roman" w:eastAsia="仿宋" w:cs="Times New Roman"/>
                <w:color w:val="000000"/>
                <w:sz w:val="28"/>
                <w:szCs w:val="28"/>
                <w:lang w:val="en-US" w:eastAsia="zh-CN"/>
              </w:rPr>
              <w:t xml:space="preserve">：团队已系统开展图神经网络、知识图谱、供应链金融风险评估相关研究，覆盖供应链关系预测、风险评估、韧性推断、需求预测等方向，为模型设计提供完整理论支撑。 </w:t>
            </w:r>
          </w:p>
          <w:p w14:paraId="6657EB32">
            <w:pPr>
              <w:numPr>
                <w:ilvl w:val="0"/>
                <w:numId w:val="3"/>
              </w:numPr>
              <w:tabs>
                <w:tab w:val="clear" w:pos="720"/>
              </w:tabs>
              <w:spacing w:before="120" w:beforeLines="50" w:after="120" w:afterLines="50" w:line="240" w:lineRule="auto"/>
              <w:ind w:left="28" w:firstLine="567"/>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技术验证基础</w:t>
            </w:r>
            <w:r>
              <w:rPr>
                <w:rFonts w:ascii="Times New Roman" w:hAnsi="Times New Roman" w:eastAsia="仿宋" w:cs="Times New Roman"/>
                <w:color w:val="000000"/>
                <w:sz w:val="28"/>
                <w:szCs w:val="28"/>
                <w:lang w:val="en-US" w:eastAsia="zh-CN"/>
              </w:rPr>
              <w:t xml:space="preserve">：完成多源异构数据融合、图注意力网络、知识图谱构建的初步验证，实现基础版企业关联关系挖掘与风险评分功能。 </w:t>
            </w:r>
          </w:p>
          <w:p w14:paraId="2171C7B4">
            <w:pPr>
              <w:numPr>
                <w:ilvl w:val="0"/>
                <w:numId w:val="3"/>
              </w:numPr>
              <w:tabs>
                <w:tab w:val="clear" w:pos="720"/>
              </w:tabs>
              <w:spacing w:before="120" w:beforeLines="50" w:after="120" w:afterLines="50" w:line="240" w:lineRule="auto"/>
              <w:ind w:left="28" w:firstLine="567"/>
              <w:jc w:val="both"/>
              <w:rPr>
                <w:rFonts w:ascii="Times New Roman" w:hAnsi="Times New Roman" w:eastAsia="仿宋" w:cs="Times New Roman"/>
                <w:color w:val="000000"/>
                <w:sz w:val="28"/>
                <w:szCs w:val="28"/>
                <w:lang w:eastAsia="zh-CN"/>
              </w:rPr>
            </w:pPr>
            <w:r>
              <w:rPr>
                <w:rFonts w:ascii="Times New Roman" w:hAnsi="Times New Roman" w:eastAsia="仿宋" w:cs="Times New Roman"/>
                <w:b/>
                <w:bCs/>
                <w:color w:val="000000"/>
                <w:sz w:val="28"/>
                <w:szCs w:val="28"/>
                <w:lang w:val="en-US" w:eastAsia="zh-CN"/>
              </w:rPr>
              <w:t>场景</w:t>
            </w:r>
            <w:r>
              <w:rPr>
                <w:rFonts w:ascii="仿宋" w:hAnsi="仿宋" w:eastAsia="仿宋" w:cs="Times New Roman"/>
                <w:b/>
                <w:bCs/>
                <w:color w:val="000000"/>
                <w:sz w:val="28"/>
                <w:szCs w:val="28"/>
                <w:lang w:val="en-US" w:eastAsia="zh-CN"/>
              </w:rPr>
              <w:t>对接</w:t>
            </w:r>
            <w:r>
              <w:rPr>
                <w:rFonts w:ascii="Times New Roman" w:hAnsi="Times New Roman" w:eastAsia="仿宋" w:cs="Times New Roman"/>
                <w:b/>
                <w:bCs/>
                <w:color w:val="000000"/>
                <w:sz w:val="28"/>
                <w:szCs w:val="28"/>
                <w:lang w:val="en-US" w:eastAsia="zh-CN"/>
              </w:rPr>
              <w:t>基础</w:t>
            </w:r>
            <w:r>
              <w:rPr>
                <w:rFonts w:ascii="Times New Roman" w:hAnsi="Times New Roman" w:eastAsia="仿宋" w:cs="Times New Roman"/>
                <w:color w:val="000000"/>
                <w:sz w:val="28"/>
                <w:szCs w:val="28"/>
                <w:lang w:val="en-US" w:eastAsia="zh-CN"/>
              </w:rPr>
              <w:t>：已与本地商业银行开展产业链金融业务调研，明确白名单筛选、风险监控的真实业务需求与数据规范。</w:t>
            </w:r>
          </w:p>
          <w:p w14:paraId="25071192">
            <w:pPr>
              <w:spacing w:after="0" w:line="240" w:lineRule="auto"/>
              <w:ind w:firstLine="595"/>
              <w:jc w:val="both"/>
              <w:rPr>
                <w:rFonts w:ascii="Times New Roman" w:hAnsi="Times New Roman" w:eastAsia="仿宋" w:cs="Times New Roman"/>
                <w:color w:val="000000"/>
                <w:sz w:val="28"/>
                <w:szCs w:val="28"/>
                <w:lang w:eastAsia="zh-CN"/>
              </w:rPr>
            </w:pPr>
          </w:p>
        </w:tc>
      </w:tr>
      <w:tr w14:paraId="1ABE1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202EF87D">
            <w:pPr>
              <w:spacing w:after="0" w:line="36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14:paraId="2D261983">
            <w:pPr>
              <w:numPr>
                <w:ilvl w:val="0"/>
                <w:numId w:val="4"/>
              </w:numPr>
              <w:tabs>
                <w:tab w:val="clear" w:pos="720"/>
              </w:tabs>
              <w:spacing w:before="120" w:beforeLines="50" w:after="120" w:afterLines="50" w:line="240" w:lineRule="auto"/>
              <w:ind w:left="29" w:firstLine="567"/>
              <w:jc w:val="both"/>
              <w:rPr>
                <w:rFonts w:ascii="Times New Roman" w:hAnsi="Times New Roman" w:eastAsia="仿宋" w:cs="Times New Roman"/>
                <w:color w:val="000000"/>
                <w:sz w:val="28"/>
                <w:szCs w:val="28"/>
                <w:lang w:eastAsia="zh-CN"/>
              </w:rPr>
            </w:pPr>
            <w:r>
              <w:rPr>
                <w:rFonts w:ascii="Times New Roman" w:hAnsi="Times New Roman" w:eastAsia="仿宋" w:cs="Times New Roman"/>
                <w:b/>
                <w:bCs/>
                <w:color w:val="000000"/>
                <w:sz w:val="28"/>
                <w:szCs w:val="28"/>
                <w:lang w:eastAsia="zh-CN"/>
              </w:rPr>
              <w:t>总体目标</w:t>
            </w:r>
            <w:r>
              <w:rPr>
                <w:rFonts w:ascii="Times New Roman" w:hAnsi="Times New Roman" w:eastAsia="仿宋" w:cs="Times New Roman"/>
                <w:color w:val="000000"/>
                <w:sz w:val="28"/>
                <w:szCs w:val="28"/>
                <w:lang w:eastAsia="zh-CN"/>
              </w:rPr>
              <w:t>：</w:t>
            </w:r>
          </w:p>
          <w:p w14:paraId="6F909920">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构建一套融合知识图谱与图神经网络的智能筛选原型系统，通过挖掘产业链深层多跳关系，实现中小微企业白名单精准识别与风险穿透预警。</w:t>
            </w:r>
          </w:p>
          <w:p w14:paraId="1384EABC">
            <w:pPr>
              <w:numPr>
                <w:ilvl w:val="0"/>
                <w:numId w:val="4"/>
              </w:numPr>
              <w:tabs>
                <w:tab w:val="clear" w:pos="720"/>
              </w:tabs>
              <w:spacing w:before="120" w:beforeLines="50" w:after="120" w:afterLines="50" w:line="240" w:lineRule="auto"/>
              <w:ind w:left="29" w:firstLine="567"/>
              <w:jc w:val="both"/>
              <w:rPr>
                <w:rFonts w:ascii="Times New Roman" w:hAnsi="Times New Roman" w:eastAsia="仿宋" w:cs="Times New Roman"/>
                <w:color w:val="000000"/>
                <w:sz w:val="28"/>
                <w:szCs w:val="28"/>
                <w:lang w:eastAsia="zh-CN"/>
              </w:rPr>
            </w:pPr>
            <w:r>
              <w:rPr>
                <w:rFonts w:ascii="Times New Roman" w:hAnsi="Times New Roman" w:eastAsia="仿宋" w:cs="Times New Roman"/>
                <w:b/>
                <w:bCs/>
                <w:color w:val="000000"/>
                <w:sz w:val="28"/>
                <w:szCs w:val="28"/>
                <w:lang w:eastAsia="zh-CN"/>
              </w:rPr>
              <w:t>量化技术指标</w:t>
            </w:r>
          </w:p>
          <w:p w14:paraId="65979A36">
            <w:pPr>
              <w:numPr>
                <w:ilvl w:val="1"/>
                <w:numId w:val="5"/>
              </w:numPr>
              <w:spacing w:before="120" w:beforeLines="50" w:after="120" w:afterLines="50" w:line="240" w:lineRule="auto"/>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eastAsia="zh-CN"/>
              </w:rPr>
              <w:t>性能指标</w:t>
            </w:r>
            <w:r>
              <w:rPr>
                <w:rFonts w:ascii="Times New Roman" w:hAnsi="Times New Roman" w:eastAsia="仿宋" w:cs="Times New Roman"/>
                <w:color w:val="000000"/>
                <w:sz w:val="28"/>
                <w:szCs w:val="28"/>
                <w:lang w:val="en-US" w:eastAsia="zh-CN"/>
              </w:rPr>
              <w:t>：测试集模型AUC≥0.85；3-hop内上下游企业关联风险识别</w:t>
            </w:r>
            <w:r>
              <w:rPr>
                <w:rFonts w:ascii="Times New Roman" w:hAnsi="Times New Roman" w:eastAsia="仿宋" w:cs="Times New Roman"/>
                <w:color w:val="000000"/>
                <w:sz w:val="28"/>
                <w:szCs w:val="28"/>
                <w:lang w:eastAsia="zh-CN"/>
              </w:rPr>
              <w:t>准确率</w:t>
            </w:r>
            <w:r>
              <w:rPr>
                <w:rFonts w:hint="eastAsia" w:ascii="Times New Roman" w:hAnsi="Times New Roman" w:eastAsia="仿宋" w:cs="Times New Roman"/>
                <w:color w:val="000000"/>
                <w:sz w:val="28"/>
                <w:szCs w:val="28"/>
                <w:lang w:val="en-US" w:eastAsia="zh-CN"/>
              </w:rPr>
              <w:t>（</w:t>
            </w:r>
            <w:r>
              <w:rPr>
                <w:rFonts w:ascii="Times New Roman" w:hAnsi="Times New Roman" w:eastAsia="仿宋" w:cs="Times New Roman"/>
                <w:color w:val="000000"/>
                <w:sz w:val="28"/>
                <w:szCs w:val="28"/>
                <w:lang w:val="en-US" w:eastAsia="zh-CN"/>
              </w:rPr>
              <w:t>Precision@10</w:t>
            </w:r>
            <w:r>
              <w:rPr>
                <w:rFonts w:hint="eastAsia" w:ascii="Times New Roman" w:hAnsi="Times New Roman" w:eastAsia="仿宋" w:cs="Times New Roman"/>
                <w:color w:val="000000"/>
                <w:sz w:val="28"/>
                <w:szCs w:val="28"/>
                <w:lang w:val="en-US" w:eastAsia="zh-CN"/>
              </w:rPr>
              <w:t>）</w:t>
            </w:r>
            <w:r>
              <w:rPr>
                <w:rFonts w:ascii="Times New Roman" w:hAnsi="Times New Roman" w:eastAsia="仿宋" w:cs="Times New Roman"/>
                <w:color w:val="000000"/>
                <w:sz w:val="28"/>
                <w:szCs w:val="28"/>
                <w:lang w:val="en-US" w:eastAsia="zh-CN"/>
              </w:rPr>
              <w:t>较传统XGBoost提升≥20%</w:t>
            </w:r>
            <w:r>
              <w:rPr>
                <w:rFonts w:hint="eastAsia" w:ascii="Times New Roman" w:hAnsi="Times New Roman" w:eastAsia="仿宋" w:cs="Times New Roman"/>
                <w:color w:val="000000"/>
                <w:sz w:val="28"/>
                <w:szCs w:val="28"/>
                <w:lang w:val="en-US" w:eastAsia="zh-CN"/>
              </w:rPr>
              <w:t>；</w:t>
            </w:r>
            <w:r>
              <w:rPr>
                <w:rFonts w:ascii="Times New Roman" w:hAnsi="Times New Roman" w:eastAsia="仿宋" w:cs="Times New Roman"/>
                <w:color w:val="000000"/>
                <w:sz w:val="28"/>
                <w:szCs w:val="28"/>
                <w:lang w:val="en-US" w:eastAsia="zh-CN"/>
              </w:rPr>
              <w:t xml:space="preserve"> </w:t>
            </w:r>
          </w:p>
          <w:p w14:paraId="0403E4F5">
            <w:pPr>
              <w:numPr>
                <w:ilvl w:val="1"/>
                <w:numId w:val="5"/>
              </w:numPr>
              <w:spacing w:before="120" w:beforeLines="50" w:after="120" w:afterLines="50" w:line="240" w:lineRule="auto"/>
              <w:jc w:val="both"/>
              <w:rPr>
                <w:rFonts w:ascii="Times New Roman" w:hAnsi="Times New Roman" w:eastAsia="仿宋" w:cs="Times New Roman"/>
                <w:color w:val="000000"/>
                <w:sz w:val="28"/>
                <w:szCs w:val="28"/>
                <w:lang w:val="en-US" w:eastAsia="zh-CN"/>
              </w:rPr>
            </w:pPr>
            <w:r>
              <w:rPr>
                <w:rFonts w:ascii="Times New Roman" w:hAnsi="Times New Roman" w:eastAsia="仿宋" w:cs="Times New Roman"/>
                <w:b/>
                <w:bCs/>
                <w:color w:val="000000"/>
                <w:sz w:val="28"/>
                <w:szCs w:val="28"/>
                <w:lang w:val="en-US" w:eastAsia="zh-CN"/>
              </w:rPr>
              <w:t>效率指标</w:t>
            </w:r>
            <w:r>
              <w:rPr>
                <w:rFonts w:ascii="Times New Roman" w:hAnsi="Times New Roman" w:eastAsia="仿宋" w:cs="Times New Roman"/>
                <w:color w:val="000000"/>
                <w:sz w:val="28"/>
                <w:szCs w:val="28"/>
                <w:lang w:val="en-US" w:eastAsia="zh-CN"/>
              </w:rPr>
              <w:t>：10 万级节点、百万级关系图谱，单企业节点风险推理时间≤200ms</w:t>
            </w:r>
            <w:r>
              <w:rPr>
                <w:rFonts w:hint="eastAsia" w:ascii="Times New Roman" w:hAnsi="Times New Roman" w:eastAsia="仿宋" w:cs="Times New Roman"/>
                <w:color w:val="000000"/>
                <w:sz w:val="28"/>
                <w:szCs w:val="28"/>
                <w:lang w:val="en-US" w:eastAsia="zh-CN"/>
              </w:rPr>
              <w:t>；</w:t>
            </w:r>
          </w:p>
          <w:p w14:paraId="1B3541A9">
            <w:pPr>
              <w:numPr>
                <w:ilvl w:val="1"/>
                <w:numId w:val="5"/>
              </w:numPr>
              <w:spacing w:before="120" w:beforeLines="50" w:after="120" w:afterLines="50" w:line="240" w:lineRule="auto"/>
              <w:jc w:val="both"/>
              <w:rPr>
                <w:rFonts w:ascii="Times New Roman" w:hAnsi="Times New Roman" w:eastAsia="仿宋" w:cs="Times New Roman"/>
                <w:color w:val="000000"/>
                <w:sz w:val="28"/>
                <w:szCs w:val="28"/>
                <w:lang w:eastAsia="zh-CN"/>
              </w:rPr>
            </w:pPr>
            <w:r>
              <w:rPr>
                <w:rFonts w:ascii="Times New Roman" w:hAnsi="Times New Roman" w:eastAsia="仿宋" w:cs="Times New Roman"/>
                <w:b/>
                <w:bCs/>
                <w:color w:val="000000"/>
                <w:sz w:val="28"/>
                <w:szCs w:val="28"/>
                <w:lang w:val="en-US" w:eastAsia="zh-CN"/>
              </w:rPr>
              <w:t>可解释性指标</w:t>
            </w:r>
            <w:r>
              <w:rPr>
                <w:rFonts w:ascii="Times New Roman" w:hAnsi="Times New Roman" w:eastAsia="仿宋" w:cs="Times New Roman"/>
                <w:color w:val="000000"/>
                <w:sz w:val="28"/>
                <w:szCs w:val="28"/>
                <w:lang w:val="en-US" w:eastAsia="zh-CN"/>
              </w:rPr>
              <w:t>：风险传导路径解释覆盖率≥80%。</w:t>
            </w:r>
          </w:p>
          <w:p w14:paraId="6ED2B214">
            <w:pPr>
              <w:numPr>
                <w:ilvl w:val="0"/>
                <w:numId w:val="4"/>
              </w:numPr>
              <w:tabs>
                <w:tab w:val="clear" w:pos="720"/>
              </w:tabs>
              <w:spacing w:before="120" w:beforeLines="50" w:after="120" w:afterLines="50" w:line="240" w:lineRule="auto"/>
              <w:ind w:left="29" w:firstLine="567"/>
              <w:jc w:val="both"/>
              <w:rPr>
                <w:rFonts w:ascii="Times New Roman" w:hAnsi="Times New Roman" w:eastAsia="仿宋" w:cs="Times New Roman"/>
                <w:color w:val="000000"/>
                <w:sz w:val="28"/>
                <w:szCs w:val="28"/>
                <w:lang w:eastAsia="zh-CN"/>
              </w:rPr>
            </w:pPr>
            <w:r>
              <w:rPr>
                <w:rFonts w:ascii="Times New Roman" w:hAnsi="Times New Roman" w:eastAsia="仿宋" w:cs="Times New Roman"/>
                <w:b/>
                <w:bCs/>
                <w:color w:val="000000"/>
                <w:sz w:val="28"/>
                <w:szCs w:val="28"/>
                <w:lang w:eastAsia="zh-CN"/>
              </w:rPr>
              <w:t>成果交付形式</w:t>
            </w:r>
          </w:p>
          <w:p w14:paraId="3FE36D05">
            <w:pPr>
              <w:numPr>
                <w:ilvl w:val="1"/>
                <w:numId w:val="6"/>
              </w:numPr>
              <w:spacing w:before="120" w:beforeLines="50" w:after="120" w:afterLines="50" w:line="240" w:lineRule="auto"/>
              <w:jc w:val="both"/>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可运行的完整Python 代码及模型训练脚本；</w:t>
            </w:r>
          </w:p>
          <w:p w14:paraId="72CEC982">
            <w:pPr>
              <w:numPr>
                <w:ilvl w:val="1"/>
                <w:numId w:val="6"/>
              </w:numPr>
              <w:spacing w:before="120" w:beforeLines="50" w:after="120" w:afterLines="50" w:line="240" w:lineRule="auto"/>
              <w:jc w:val="both"/>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模型算法设计说明书与技术研究报告；</w:t>
            </w:r>
          </w:p>
          <w:p w14:paraId="44FF8C81">
            <w:pPr>
              <w:numPr>
                <w:ilvl w:val="1"/>
                <w:numId w:val="6"/>
              </w:numPr>
              <w:spacing w:before="120" w:beforeLines="50" w:after="120" w:afterLines="50" w:line="240" w:lineRule="auto"/>
              <w:jc w:val="both"/>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项目路演PPT及答辩演示材料。</w:t>
            </w:r>
          </w:p>
        </w:tc>
      </w:tr>
      <w:tr w14:paraId="6C3A2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A0911E8">
            <w:pPr>
              <w:spacing w:before="120" w:beforeLines="50" w:after="120" w:afterLines="5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14:paraId="4B35DBB2">
            <w:pPr>
              <w:spacing w:before="120" w:beforeLines="50" w:after="120" w:afterLines="50" w:line="240" w:lineRule="auto"/>
              <w:ind w:firstLine="560" w:firstLineChars="200"/>
              <w:jc w:val="both"/>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本赛题</w:t>
            </w:r>
            <w:r>
              <w:rPr>
                <w:rFonts w:ascii="仿宋" w:hAnsi="仿宋" w:eastAsia="仿宋" w:cs="Times New Roman"/>
                <w:color w:val="000000"/>
                <w:sz w:val="28"/>
                <w:szCs w:val="28"/>
                <w:lang w:eastAsia="zh-CN"/>
              </w:rPr>
              <w:t>提供</w:t>
            </w:r>
            <w:r>
              <w:rPr>
                <w:rFonts w:ascii="Times New Roman" w:hAnsi="Times New Roman" w:eastAsia="仿宋" w:cs="Times New Roman"/>
                <w:b/>
                <w:bCs/>
                <w:color w:val="000000"/>
                <w:sz w:val="28"/>
                <w:szCs w:val="28"/>
                <w:lang w:eastAsia="zh-CN"/>
              </w:rPr>
              <w:t>产业链企业脱敏数据集</w:t>
            </w:r>
            <w:r>
              <w:rPr>
                <w:rFonts w:ascii="Times New Roman" w:hAnsi="Times New Roman" w:eastAsia="仿宋" w:cs="Times New Roman"/>
                <w:color w:val="000000"/>
                <w:sz w:val="28"/>
                <w:szCs w:val="28"/>
                <w:lang w:eastAsia="zh-CN"/>
              </w:rPr>
              <w:t>，包含10万+企业节点、100万+关联关系，时间范围2023年1月—2025年12月，数据类型涵盖工商股权、发票交易、司法涉诉、舆情新闻、招投标信息，格式为 CSV、JSON、RDF，由真实业务脱敏数据与合成数据构成，满足模型训练、验证与测试全流程需求。</w:t>
            </w:r>
          </w:p>
        </w:tc>
      </w:tr>
    </w:tbl>
    <w:p w14:paraId="0D62F000">
      <w:pPr>
        <w:rPr>
          <w:rFonts w:hint="eastAsia"/>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3D4100"/>
    <w:multiLevelType w:val="multilevel"/>
    <w:tmpl w:val="083D410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D6B5735"/>
    <w:multiLevelType w:val="multilevel"/>
    <w:tmpl w:val="1D6B5735"/>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440"/>
        </w:tabs>
        <w:ind w:left="1440" w:hanging="360"/>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2">
    <w:nsid w:val="219C1E45"/>
    <w:multiLevelType w:val="multilevel"/>
    <w:tmpl w:val="219C1E45"/>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440"/>
        </w:tabs>
        <w:ind w:left="1440" w:hanging="360"/>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3">
    <w:nsid w:val="311F1DA0"/>
    <w:multiLevelType w:val="multilevel"/>
    <w:tmpl w:val="311F1DA0"/>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ind w:left="1520" w:hanging="440"/>
      </w:p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
    <w:nsid w:val="6F01552E"/>
    <w:multiLevelType w:val="multilevel"/>
    <w:tmpl w:val="6F01552E"/>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ind w:left="1520" w:hanging="440"/>
      </w:p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5">
    <w:nsid w:val="71CC648E"/>
    <w:multiLevelType w:val="multilevel"/>
    <w:tmpl w:val="71CC648E"/>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440"/>
        </w:tabs>
        <w:ind w:left="1440" w:hanging="360"/>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07365A"/>
    <w:rsid w:val="0010791D"/>
    <w:rsid w:val="00140024"/>
    <w:rsid w:val="00143EE9"/>
    <w:rsid w:val="00162441"/>
    <w:rsid w:val="00172261"/>
    <w:rsid w:val="00192A08"/>
    <w:rsid w:val="0026568F"/>
    <w:rsid w:val="00277E7C"/>
    <w:rsid w:val="002E3326"/>
    <w:rsid w:val="002E7B51"/>
    <w:rsid w:val="002F4E8E"/>
    <w:rsid w:val="00421B20"/>
    <w:rsid w:val="004366D8"/>
    <w:rsid w:val="004B018B"/>
    <w:rsid w:val="00552A18"/>
    <w:rsid w:val="00596B7F"/>
    <w:rsid w:val="0064149C"/>
    <w:rsid w:val="00696626"/>
    <w:rsid w:val="006D7376"/>
    <w:rsid w:val="00704695"/>
    <w:rsid w:val="008A446F"/>
    <w:rsid w:val="00913D29"/>
    <w:rsid w:val="009D4463"/>
    <w:rsid w:val="009E24F0"/>
    <w:rsid w:val="00A25FA9"/>
    <w:rsid w:val="00AC2A33"/>
    <w:rsid w:val="00B26746"/>
    <w:rsid w:val="00B7034F"/>
    <w:rsid w:val="00CB629A"/>
    <w:rsid w:val="00CC1814"/>
    <w:rsid w:val="00CD5846"/>
    <w:rsid w:val="00CE3ED8"/>
    <w:rsid w:val="00D93B49"/>
    <w:rsid w:val="00E27527"/>
    <w:rsid w:val="00E93495"/>
    <w:rsid w:val="00F7347D"/>
    <w:rsid w:val="00F92567"/>
    <w:rsid w:val="00FC0FF6"/>
    <w:rsid w:val="00FE6083"/>
    <w:rsid w:val="197B7B7C"/>
    <w:rsid w:val="7CE43B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line="240" w:lineRule="auto"/>
    </w:pPr>
    <w:rPr>
      <w:sz w:val="18"/>
      <w:szCs w:val="18"/>
    </w:rPr>
  </w:style>
  <w:style w:type="paragraph" w:styleId="3">
    <w:name w:val="header"/>
    <w:basedOn w:val="1"/>
    <w:link w:val="8"/>
    <w:unhideWhenUsed/>
    <w:uiPriority w:val="99"/>
    <w:pPr>
      <w:tabs>
        <w:tab w:val="center" w:pos="4153"/>
        <w:tab w:val="right" w:pos="8306"/>
      </w:tabs>
      <w:snapToGrid w:val="0"/>
      <w:spacing w:line="240" w:lineRule="auto"/>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字符"/>
    <w:basedOn w:val="6"/>
    <w:link w:val="3"/>
    <w:uiPriority w:val="99"/>
    <w:rPr>
      <w:kern w:val="0"/>
      <w:sz w:val="18"/>
      <w:szCs w:val="18"/>
      <w:lang w:val="zh-CN" w:eastAsia="en-US"/>
    </w:rPr>
  </w:style>
  <w:style w:type="character" w:customStyle="1" w:styleId="9">
    <w:name w:val="页脚 字符"/>
    <w:basedOn w:val="6"/>
    <w:link w:val="2"/>
    <w:uiPriority w:val="99"/>
    <w:rPr>
      <w:kern w:val="0"/>
      <w:sz w:val="18"/>
      <w:szCs w:val="18"/>
      <w:lang w:val="zh-CN"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1989</Words>
  <Characters>2069</Characters>
  <Lines>15</Lines>
  <Paragraphs>4</Paragraphs>
  <TotalTime>1</TotalTime>
  <ScaleCrop>false</ScaleCrop>
  <LinksUpToDate>false</LinksUpToDate>
  <CharactersWithSpaces>2101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2026-05-04T08:31:00Z</dcterms:created>
  <dc:creator>李昊骅 南京大学</dc:creator>
  <cp:lastModifiedBy>MR.MR.L（李芳）</cp:lastModifiedBy>
  <dcterms:modified xsi:type="dcterms:W3CDTF">2026-05-06T02:28:38Z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eyJoZGlkIjoiNjMyNzk3MzA4OGY1ZDBiN2IzMzRiZjQ2YzM2MWQ1YjAiLCJ1c2VySWQiOiI5ODg2ODQ1ODYifQ==</vt:lpwstr>
  </property>
  <property fmtid="{D5CDD505-2E9C-101B-9397-08002B2CF9AE}" pid="3" name="KSOProductBuildVer">
    <vt:lpwstr>2052-12.1.0.25865</vt:lpwstr>
  </property>
  <property fmtid="{D5CDD505-2E9C-101B-9397-08002B2CF9AE}" pid="4" name="ICV">
    <vt:lpwstr>ADF27B9A293E4A64A78A1796D8C1BD5E_12</vt:lpwstr>
  </property>
</Properties>
</file>