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C4214E">
      <w:pPr>
        <w:spacing w:after="0" w:line="240" w:lineRule="auto"/>
        <w:jc w:val="center"/>
        <w:rPr>
          <w:rFonts w:hint="eastAsia" w:eastAsia="黑体" w:cs="Times New Roman"/>
          <w:b/>
          <w:bCs/>
          <w:sz w:val="44"/>
          <w:szCs w:val="42"/>
          <w:lang w:eastAsia="zh-CN"/>
        </w:rPr>
      </w:pPr>
    </w:p>
    <w:p w14:paraId="333E7498">
      <w:pPr>
        <w:spacing w:after="0" w:line="240" w:lineRule="auto"/>
        <w:jc w:val="center"/>
        <w:rPr>
          <w:rFonts w:hint="eastAsia" w:eastAsia="黑体" w:cs="Times New Roman"/>
          <w:b/>
          <w:bCs/>
          <w:sz w:val="44"/>
          <w:szCs w:val="42"/>
          <w:lang w:eastAsia="zh-CN"/>
        </w:rPr>
      </w:pPr>
      <w:r>
        <w:rPr>
          <w:rFonts w:eastAsia="黑体" w:cs="Times New Roman"/>
          <w:b/>
          <w:bCs/>
          <w:sz w:val="44"/>
          <w:szCs w:val="42"/>
          <w:lang w:eastAsia="zh-CN"/>
        </w:rPr>
        <w:t>第五届中国研究生金融科技创新大赛</w:t>
      </w:r>
    </w:p>
    <w:p w14:paraId="7E0BBB17">
      <w:pPr>
        <w:spacing w:line="600" w:lineRule="exact"/>
        <w:jc w:val="center"/>
        <w:rPr>
          <w:rFonts w:ascii="Times New Roman" w:hAnsi="Times New Roman" w:cs="Times New Roman"/>
          <w:b/>
          <w:bCs/>
          <w:sz w:val="32"/>
          <w:szCs w:val="32"/>
          <w:lang w:eastAsia="zh-CN"/>
        </w:rPr>
      </w:pPr>
      <w:r>
        <w:rPr>
          <w:rFonts w:hint="eastAsia" w:eastAsia="黑体" w:cs="Times New Roman"/>
          <w:b/>
          <w:bCs/>
          <w:sz w:val="44"/>
          <w:szCs w:val="42"/>
          <w:lang w:eastAsia="zh-CN"/>
        </w:rPr>
        <w:t>“</w:t>
      </w:r>
      <w:r>
        <w:rPr>
          <w:rFonts w:eastAsia="黑体" w:cs="Times New Roman"/>
          <w:b/>
          <w:bCs/>
          <w:sz w:val="44"/>
          <w:szCs w:val="42"/>
          <w:lang w:eastAsia="zh-CN"/>
        </w:rPr>
        <w:t>揭榜挂帅</w:t>
      </w:r>
      <w:r>
        <w:rPr>
          <w:rFonts w:hint="eastAsia" w:eastAsia="黑体" w:cs="Times New Roman"/>
          <w:b/>
          <w:bCs/>
          <w:sz w:val="44"/>
          <w:szCs w:val="42"/>
          <w:lang w:eastAsia="zh-CN"/>
        </w:rPr>
        <w:t>”</w:t>
      </w:r>
      <w:r>
        <w:rPr>
          <w:rFonts w:eastAsia="黑体" w:cs="Times New Roman"/>
          <w:b/>
          <w:bCs/>
          <w:sz w:val="44"/>
          <w:szCs w:val="42"/>
          <w:lang w:eastAsia="zh-CN"/>
        </w:rPr>
        <w:t>赛题说明</w:t>
      </w:r>
    </w:p>
    <w:tbl>
      <w:tblPr>
        <w:tblStyle w:val="6"/>
        <w:tblW w:w="10063"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126"/>
        <w:gridCol w:w="1276"/>
        <w:gridCol w:w="1984"/>
        <w:gridCol w:w="1346"/>
        <w:gridCol w:w="3331"/>
      </w:tblGrid>
      <w:tr w14:paraId="042A55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0" w:hRule="atLeast"/>
          <w:jc w:val="center"/>
        </w:trPr>
        <w:tc>
          <w:tcPr>
            <w:tcW w:w="10063" w:type="dxa"/>
            <w:gridSpan w:val="5"/>
            <w:tcBorders>
              <w:top w:val="single" w:color="000000" w:sz="4" w:space="0"/>
              <w:left w:val="single" w:color="000000" w:sz="4" w:space="0"/>
              <w:bottom w:val="single" w:color="000000" w:sz="4" w:space="0"/>
              <w:right w:val="single" w:color="000000" w:sz="4" w:space="0"/>
            </w:tcBorders>
            <w:noWrap/>
            <w:vAlign w:val="center"/>
          </w:tcPr>
          <w:p w14:paraId="23155353">
            <w:pPr>
              <w:spacing w:after="0" w:line="240" w:lineRule="auto"/>
              <w:jc w:val="center"/>
              <w:rPr>
                <w:rFonts w:ascii="Times New Roman" w:hAnsi="Times New Roman" w:eastAsia="黑体" w:cs="Times New Roman"/>
                <w:b/>
                <w:bCs/>
                <w:color w:val="000000"/>
                <w:sz w:val="28"/>
                <w:szCs w:val="28"/>
              </w:rPr>
            </w:pPr>
            <w:r>
              <w:rPr>
                <w:rFonts w:hint="eastAsia" w:ascii="Times New Roman" w:hAnsi="Times New Roman" w:eastAsia="黑体" w:cs="Times New Roman"/>
                <w:b/>
                <w:bCs/>
                <w:color w:val="000000"/>
                <w:sz w:val="28"/>
                <w:szCs w:val="28"/>
                <w:lang w:eastAsia="zh-CN"/>
              </w:rPr>
              <w:t>一、命题单位基本情况</w:t>
            </w:r>
          </w:p>
        </w:tc>
      </w:tr>
      <w:tr w14:paraId="5855F58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0" w:hRule="atLeast"/>
          <w:jc w:val="center"/>
        </w:trPr>
        <w:tc>
          <w:tcPr>
            <w:tcW w:w="2126" w:type="dxa"/>
            <w:tcBorders>
              <w:top w:val="single" w:color="000000" w:sz="4" w:space="0"/>
              <w:left w:val="single" w:color="000000" w:sz="4" w:space="0"/>
              <w:bottom w:val="single" w:color="000000" w:sz="4" w:space="0"/>
              <w:right w:val="single" w:color="000000" w:sz="4" w:space="0"/>
            </w:tcBorders>
            <w:noWrap/>
            <w:vAlign w:val="center"/>
          </w:tcPr>
          <w:p w14:paraId="671601CB">
            <w:pPr>
              <w:spacing w:after="0" w:line="240" w:lineRule="auto"/>
              <w:jc w:val="center"/>
              <w:rPr>
                <w:rFonts w:ascii="Times New Roman" w:hAnsi="Times New Roman" w:eastAsia="黑体" w:cs="Times New Roman"/>
                <w:b/>
                <w:bCs/>
                <w:color w:val="000000"/>
                <w:sz w:val="28"/>
                <w:szCs w:val="28"/>
              </w:rPr>
            </w:pPr>
            <w:r>
              <w:rPr>
                <w:rFonts w:hint="eastAsia" w:ascii="Times New Roman" w:hAnsi="Times New Roman" w:eastAsia="黑体" w:cs="Times New Roman"/>
                <w:b/>
                <w:bCs/>
                <w:color w:val="000000"/>
                <w:sz w:val="28"/>
                <w:szCs w:val="28"/>
                <w:lang w:eastAsia="zh-CN"/>
              </w:rPr>
              <w:t>单位名称</w:t>
            </w:r>
          </w:p>
        </w:tc>
        <w:tc>
          <w:tcPr>
            <w:tcW w:w="7937" w:type="dxa"/>
            <w:gridSpan w:val="4"/>
            <w:tcBorders>
              <w:top w:val="single" w:color="000000" w:sz="4" w:space="0"/>
              <w:left w:val="single" w:color="000000" w:sz="4" w:space="0"/>
              <w:bottom w:val="single" w:color="000000" w:sz="4" w:space="0"/>
              <w:right w:val="single" w:color="000000" w:sz="4" w:space="0"/>
            </w:tcBorders>
            <w:noWrap/>
            <w:vAlign w:val="center"/>
          </w:tcPr>
          <w:p w14:paraId="524FBEC2">
            <w:pPr>
              <w:spacing w:after="0" w:line="240" w:lineRule="auto"/>
              <w:jc w:val="center"/>
              <w:rPr>
                <w:rFonts w:ascii="Times New Roman" w:hAnsi="Times New Roman" w:eastAsia="仿宋" w:cs="Times New Roman"/>
                <w:color w:val="000000"/>
                <w:sz w:val="28"/>
                <w:szCs w:val="28"/>
                <w:lang w:val="en-US" w:eastAsia="zh-CN"/>
              </w:rPr>
            </w:pPr>
            <w:r>
              <w:rPr>
                <w:rFonts w:hint="eastAsia" w:ascii="仿宋" w:hAnsi="仿宋" w:eastAsia="仿宋" w:cs="仿宋"/>
                <w:color w:val="000000"/>
                <w:sz w:val="28"/>
                <w:szCs w:val="28"/>
                <w:lang w:val="en-US" w:eastAsia="zh-CN" w:bidi="ar"/>
              </w:rPr>
              <w:t>南京证券股份有限公司</w:t>
            </w:r>
          </w:p>
        </w:tc>
      </w:tr>
      <w:tr w14:paraId="47BEB7E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0" w:hRule="atLeast"/>
          <w:jc w:val="center"/>
        </w:trPr>
        <w:tc>
          <w:tcPr>
            <w:tcW w:w="2126" w:type="dxa"/>
            <w:tcBorders>
              <w:top w:val="single" w:color="000000" w:sz="4" w:space="0"/>
              <w:left w:val="single" w:color="000000" w:sz="4" w:space="0"/>
              <w:bottom w:val="single" w:color="000000" w:sz="4" w:space="0"/>
              <w:right w:val="single" w:color="000000" w:sz="4" w:space="0"/>
            </w:tcBorders>
            <w:noWrap/>
            <w:vAlign w:val="center"/>
          </w:tcPr>
          <w:p w14:paraId="74B97989">
            <w:pPr>
              <w:spacing w:after="0" w:line="240" w:lineRule="auto"/>
              <w:jc w:val="center"/>
              <w:rPr>
                <w:rFonts w:ascii="Times New Roman" w:hAnsi="Times New Roman" w:eastAsia="黑体" w:cs="Times New Roman"/>
                <w:b/>
                <w:bCs/>
                <w:color w:val="000000"/>
                <w:sz w:val="28"/>
                <w:szCs w:val="28"/>
              </w:rPr>
            </w:pPr>
            <w:r>
              <w:rPr>
                <w:rFonts w:hint="eastAsia" w:ascii="Times New Roman" w:hAnsi="Times New Roman" w:eastAsia="黑体" w:cs="Times New Roman"/>
                <w:b/>
                <w:bCs/>
                <w:color w:val="000000"/>
                <w:sz w:val="28"/>
                <w:szCs w:val="28"/>
                <w:lang w:eastAsia="zh-CN"/>
              </w:rPr>
              <w:t>单位地址</w:t>
            </w:r>
          </w:p>
        </w:tc>
        <w:tc>
          <w:tcPr>
            <w:tcW w:w="7937" w:type="dxa"/>
            <w:gridSpan w:val="4"/>
            <w:tcBorders>
              <w:top w:val="single" w:color="000000" w:sz="4" w:space="0"/>
              <w:left w:val="single" w:color="000000" w:sz="4" w:space="0"/>
              <w:bottom w:val="single" w:color="000000" w:sz="4" w:space="0"/>
              <w:right w:val="single" w:color="000000" w:sz="4" w:space="0"/>
            </w:tcBorders>
            <w:noWrap/>
            <w:vAlign w:val="center"/>
          </w:tcPr>
          <w:p w14:paraId="0A7864C6">
            <w:pPr>
              <w:spacing w:after="0" w:line="240" w:lineRule="auto"/>
              <w:jc w:val="center"/>
              <w:rPr>
                <w:rFonts w:ascii="Times New Roman" w:hAnsi="Times New Roman" w:eastAsia="仿宋" w:cs="Times New Roman"/>
                <w:color w:val="000000"/>
                <w:sz w:val="28"/>
                <w:szCs w:val="28"/>
                <w:lang w:val="en-US" w:eastAsia="zh-CN"/>
              </w:rPr>
            </w:pPr>
            <w:r>
              <w:rPr>
                <w:rFonts w:hint="eastAsia" w:ascii="Times New Roman" w:hAnsi="Times New Roman" w:eastAsia="仿宋" w:cs="Times New Roman"/>
                <w:color w:val="000000"/>
                <w:sz w:val="28"/>
                <w:szCs w:val="28"/>
                <w:lang w:val="en-US" w:eastAsia="zh-CN"/>
              </w:rPr>
              <w:t>南京市江东中路389号</w:t>
            </w:r>
          </w:p>
        </w:tc>
      </w:tr>
      <w:tr w14:paraId="3DAAC8D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17" w:hRule="atLeast"/>
          <w:jc w:val="center"/>
        </w:trPr>
        <w:tc>
          <w:tcPr>
            <w:tcW w:w="2126" w:type="dxa"/>
            <w:tcBorders>
              <w:top w:val="single" w:color="000000" w:sz="4" w:space="0"/>
              <w:left w:val="single" w:color="000000" w:sz="4" w:space="0"/>
              <w:bottom w:val="single" w:color="000000" w:sz="4" w:space="0"/>
              <w:right w:val="single" w:color="000000" w:sz="4" w:space="0"/>
            </w:tcBorders>
            <w:noWrap/>
            <w:vAlign w:val="center"/>
          </w:tcPr>
          <w:p w14:paraId="7AA1E6B1">
            <w:pPr>
              <w:spacing w:after="0" w:line="240" w:lineRule="auto"/>
              <w:jc w:val="center"/>
              <w:rPr>
                <w:rFonts w:ascii="Times New Roman" w:hAnsi="Times New Roman" w:eastAsia="黑体" w:cs="Times New Roman"/>
                <w:b/>
                <w:bCs/>
                <w:color w:val="000000"/>
                <w:sz w:val="28"/>
                <w:szCs w:val="28"/>
              </w:rPr>
            </w:pPr>
            <w:r>
              <w:rPr>
                <w:rFonts w:hint="eastAsia" w:ascii="Times New Roman" w:hAnsi="Times New Roman" w:eastAsia="黑体" w:cs="Times New Roman"/>
                <w:b/>
                <w:bCs/>
                <w:color w:val="000000"/>
                <w:sz w:val="28"/>
                <w:szCs w:val="28"/>
                <w:lang w:eastAsia="zh-CN"/>
              </w:rPr>
              <w:t>单位简介</w:t>
            </w:r>
          </w:p>
        </w:tc>
        <w:tc>
          <w:tcPr>
            <w:tcW w:w="7937" w:type="dxa"/>
            <w:gridSpan w:val="4"/>
            <w:tcBorders>
              <w:top w:val="single" w:color="000000" w:sz="4" w:space="0"/>
              <w:left w:val="single" w:color="000000" w:sz="4" w:space="0"/>
              <w:bottom w:val="single" w:color="000000" w:sz="4" w:space="0"/>
              <w:right w:val="single" w:color="000000" w:sz="4" w:space="0"/>
            </w:tcBorders>
            <w:noWrap/>
            <w:vAlign w:val="center"/>
          </w:tcPr>
          <w:p w14:paraId="301C02F9">
            <w:pPr>
              <w:pStyle w:val="5"/>
              <w:keepNext w:val="0"/>
              <w:keepLines w:val="0"/>
              <w:widowControl/>
              <w:suppressLineNumbers w:val="0"/>
              <w:spacing w:before="0" w:beforeAutospacing="0" w:after="0" w:afterAutospacing="0" w:line="360" w:lineRule="auto"/>
              <w:ind w:left="0" w:firstLine="480"/>
              <w:jc w:val="left"/>
              <w:rPr>
                <w:rFonts w:hint="default" w:ascii="Times New Roman" w:hAnsi="Times New Roman" w:eastAsia="仿宋" w:cs="Times New Roman"/>
                <w:color w:val="000000"/>
                <w:sz w:val="28"/>
                <w:szCs w:val="28"/>
                <w:lang w:val="en-US" w:eastAsia="zh-CN"/>
              </w:rPr>
            </w:pPr>
            <w:r>
              <w:rPr>
                <w:rFonts w:hint="eastAsia" w:ascii="宋体" w:hAnsi="宋体" w:eastAsia="宋体" w:cs="宋体"/>
                <w:sz w:val="24"/>
                <w:szCs w:val="24"/>
              </w:rPr>
              <w:t>南京证券创建于1990年12月，由中国人民银行南京分行发起设立，与新中国资本市场“同龄”。1995年，南京证券划归南京市人民政府管理。2012年，南京证券完成股份制改造，变更为股份有限公司。2015年10月，南京证券成功挂牌全国股转系统。2018年6月13日，南京证券（股票代码：601990）成功在上海证券交易所主板上市。截至2020年12月，公司注册资本36.86亿元，业务范围涵盖证券经纪、证券承销与保荐、证券自营、证券资产管理、信用交易、场外市场、金融衍生品、互联网金融等诸多领域，在宁夏、宁夏、北京、上海、浙江、重庆、广东、江西、福建、陕西、云南、湖南、广西、山东、湖北、河北、四川、山西等省（区、市）设有110余家分支机构，拥有宁证期货（原南证期货）、富安达基金、巨石创投、宁夏股权托管交易中心、南京蓝天投资等成员企业，形成了覆盖证券、期货、基金、私募股权投资、股权托管交易、另类投资等较为完整的证券金融产业链。</w:t>
            </w:r>
            <w:bookmarkStart w:id="0" w:name="_GoBack"/>
            <w:bookmarkEnd w:id="0"/>
          </w:p>
        </w:tc>
      </w:tr>
      <w:tr w14:paraId="3ED25B2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0" w:hRule="atLeast"/>
          <w:jc w:val="center"/>
        </w:trPr>
        <w:tc>
          <w:tcPr>
            <w:tcW w:w="2126" w:type="dxa"/>
            <w:vMerge w:val="restart"/>
            <w:tcBorders>
              <w:top w:val="single" w:color="000000" w:sz="4" w:space="0"/>
              <w:left w:val="single" w:color="000000" w:sz="4" w:space="0"/>
              <w:bottom w:val="single" w:color="000000" w:sz="4" w:space="0"/>
              <w:right w:val="single" w:color="000000" w:sz="4" w:space="0"/>
            </w:tcBorders>
            <w:noWrap/>
            <w:vAlign w:val="center"/>
          </w:tcPr>
          <w:p w14:paraId="5BE8F89D">
            <w:pPr>
              <w:spacing w:after="0" w:line="240" w:lineRule="auto"/>
              <w:jc w:val="center"/>
              <w:rPr>
                <w:rFonts w:ascii="Times New Roman" w:hAnsi="Times New Roman" w:eastAsia="黑体" w:cs="Times New Roman"/>
                <w:b/>
                <w:bCs/>
                <w:color w:val="000000"/>
                <w:sz w:val="28"/>
                <w:szCs w:val="28"/>
              </w:rPr>
            </w:pPr>
            <w:r>
              <w:rPr>
                <w:rFonts w:hint="eastAsia" w:ascii="Times New Roman" w:hAnsi="Times New Roman" w:eastAsia="黑体" w:cs="Times New Roman"/>
                <w:b/>
                <w:bCs/>
                <w:color w:val="000000"/>
                <w:sz w:val="28"/>
                <w:szCs w:val="28"/>
                <w:lang w:eastAsia="zh-CN"/>
              </w:rPr>
              <w:t>联系人</w:t>
            </w:r>
          </w:p>
        </w:tc>
        <w:tc>
          <w:tcPr>
            <w:tcW w:w="1276" w:type="dxa"/>
            <w:tcBorders>
              <w:top w:val="single" w:color="000000" w:sz="4" w:space="0"/>
              <w:left w:val="single" w:color="000000" w:sz="4" w:space="0"/>
              <w:bottom w:val="single" w:color="000000" w:sz="4" w:space="0"/>
              <w:right w:val="single" w:color="000000" w:sz="4" w:space="0"/>
            </w:tcBorders>
            <w:noWrap/>
            <w:vAlign w:val="center"/>
          </w:tcPr>
          <w:p w14:paraId="13968491">
            <w:pPr>
              <w:spacing w:after="0" w:line="240" w:lineRule="auto"/>
              <w:jc w:val="center"/>
              <w:rPr>
                <w:rFonts w:ascii="Times New Roman" w:hAnsi="Times New Roman" w:eastAsia="黑体" w:cs="Times New Roman"/>
                <w:b/>
                <w:bCs/>
                <w:color w:val="000000"/>
                <w:sz w:val="28"/>
                <w:szCs w:val="28"/>
              </w:rPr>
            </w:pPr>
            <w:r>
              <w:rPr>
                <w:rFonts w:hint="eastAsia" w:ascii="Times New Roman" w:hAnsi="Times New Roman" w:eastAsia="黑体" w:cs="Times New Roman"/>
                <w:b/>
                <w:bCs/>
                <w:color w:val="000000"/>
                <w:sz w:val="28"/>
                <w:szCs w:val="28"/>
                <w:lang w:eastAsia="zh-CN"/>
              </w:rPr>
              <w:t>姓名</w:t>
            </w:r>
          </w:p>
        </w:tc>
        <w:tc>
          <w:tcPr>
            <w:tcW w:w="1984" w:type="dxa"/>
            <w:tcBorders>
              <w:top w:val="single" w:color="000000" w:sz="4" w:space="0"/>
              <w:left w:val="single" w:color="000000" w:sz="4" w:space="0"/>
              <w:bottom w:val="single" w:color="000000" w:sz="4" w:space="0"/>
              <w:right w:val="single" w:color="000000" w:sz="4" w:space="0"/>
            </w:tcBorders>
            <w:noWrap/>
            <w:vAlign w:val="center"/>
          </w:tcPr>
          <w:p w14:paraId="106866E0">
            <w:pPr>
              <w:spacing w:after="0" w:line="240" w:lineRule="auto"/>
              <w:jc w:val="center"/>
              <w:rPr>
                <w:rFonts w:hint="default" w:ascii="Times New Roman" w:hAnsi="Times New Roman" w:eastAsia="仿宋" w:cs="Times New Roman"/>
                <w:color w:val="000000"/>
                <w:sz w:val="28"/>
                <w:szCs w:val="28"/>
                <w:lang w:val="en-US" w:eastAsia="zh-CN"/>
              </w:rPr>
            </w:pPr>
            <w:r>
              <w:rPr>
                <w:rFonts w:hint="eastAsia" w:ascii="Times New Roman" w:hAnsi="Times New Roman" w:eastAsia="仿宋" w:cs="Times New Roman"/>
                <w:color w:val="000000"/>
                <w:sz w:val="28"/>
                <w:szCs w:val="28"/>
                <w:lang w:val="en-US" w:eastAsia="zh-CN"/>
              </w:rPr>
              <w:t>葛橹漠</w:t>
            </w:r>
          </w:p>
        </w:tc>
        <w:tc>
          <w:tcPr>
            <w:tcW w:w="1346" w:type="dxa"/>
            <w:tcBorders>
              <w:top w:val="single" w:color="000000" w:sz="4" w:space="0"/>
              <w:left w:val="single" w:color="000000" w:sz="4" w:space="0"/>
              <w:bottom w:val="single" w:color="000000" w:sz="4" w:space="0"/>
              <w:right w:val="single" w:color="000000" w:sz="4" w:space="0"/>
            </w:tcBorders>
            <w:noWrap/>
            <w:vAlign w:val="center"/>
          </w:tcPr>
          <w:p w14:paraId="103F5BB2">
            <w:pPr>
              <w:spacing w:after="0" w:line="240" w:lineRule="auto"/>
              <w:jc w:val="center"/>
              <w:rPr>
                <w:rFonts w:ascii="Times New Roman" w:hAnsi="Times New Roman" w:eastAsia="黑体" w:cs="Times New Roman"/>
                <w:b/>
                <w:bCs/>
                <w:color w:val="000000"/>
                <w:sz w:val="28"/>
                <w:szCs w:val="28"/>
              </w:rPr>
            </w:pPr>
            <w:r>
              <w:rPr>
                <w:rFonts w:hint="eastAsia" w:ascii="Times New Roman" w:hAnsi="Times New Roman" w:eastAsia="黑体" w:cs="Times New Roman"/>
                <w:b/>
                <w:bCs/>
                <w:color w:val="000000"/>
                <w:sz w:val="28"/>
                <w:szCs w:val="28"/>
                <w:lang w:eastAsia="zh-CN"/>
              </w:rPr>
              <w:t>职务</w:t>
            </w:r>
          </w:p>
        </w:tc>
        <w:tc>
          <w:tcPr>
            <w:tcW w:w="3331" w:type="dxa"/>
            <w:tcBorders>
              <w:top w:val="single" w:color="000000" w:sz="4" w:space="0"/>
              <w:left w:val="single" w:color="000000" w:sz="4" w:space="0"/>
              <w:bottom w:val="single" w:color="000000" w:sz="4" w:space="0"/>
              <w:right w:val="single" w:color="000000" w:sz="4" w:space="0"/>
            </w:tcBorders>
            <w:noWrap/>
            <w:vAlign w:val="center"/>
          </w:tcPr>
          <w:p w14:paraId="69AD779B">
            <w:pPr>
              <w:spacing w:after="0" w:line="240" w:lineRule="auto"/>
              <w:jc w:val="center"/>
              <w:rPr>
                <w:rFonts w:hint="default" w:ascii="Times New Roman" w:hAnsi="Times New Roman" w:eastAsia="仿宋" w:cs="Times New Roman"/>
                <w:color w:val="000000"/>
                <w:sz w:val="28"/>
                <w:szCs w:val="28"/>
                <w:lang w:val="en-US" w:eastAsia="zh-CN"/>
              </w:rPr>
            </w:pPr>
            <w:r>
              <w:rPr>
                <w:rFonts w:hint="eastAsia" w:ascii="Times New Roman" w:hAnsi="Times New Roman" w:eastAsia="仿宋" w:cs="Times New Roman"/>
                <w:color w:val="000000"/>
                <w:sz w:val="28"/>
                <w:szCs w:val="28"/>
                <w:lang w:val="en-US" w:eastAsia="zh-CN"/>
              </w:rPr>
              <w:t>创新研发中心</w:t>
            </w:r>
          </w:p>
        </w:tc>
      </w:tr>
      <w:tr w14:paraId="02649B8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0" w:hRule="atLeast"/>
          <w:jc w:val="center"/>
        </w:trPr>
        <w:tc>
          <w:tcPr>
            <w:tcW w:w="2126" w:type="dxa"/>
            <w:vMerge w:val="continue"/>
            <w:tcBorders>
              <w:top w:val="single" w:color="000000" w:sz="4" w:space="0"/>
              <w:left w:val="single" w:color="000000" w:sz="4" w:space="0"/>
              <w:bottom w:val="single" w:color="000000" w:sz="4" w:space="0"/>
              <w:right w:val="single" w:color="000000" w:sz="4" w:space="0"/>
            </w:tcBorders>
            <w:vAlign w:val="center"/>
          </w:tcPr>
          <w:p w14:paraId="26FF21C9">
            <w:pPr>
              <w:spacing w:after="0" w:line="240" w:lineRule="auto"/>
              <w:rPr>
                <w:rFonts w:ascii="Times New Roman" w:hAnsi="Times New Roman" w:eastAsia="黑体" w:cs="Times New Roman"/>
                <w:b/>
                <w:bCs/>
                <w:color w:val="000000"/>
                <w:sz w:val="28"/>
                <w:szCs w:val="28"/>
                <w:lang w:eastAsia="zh-CN"/>
              </w:rPr>
            </w:pPr>
          </w:p>
        </w:tc>
        <w:tc>
          <w:tcPr>
            <w:tcW w:w="1276" w:type="dxa"/>
            <w:tcBorders>
              <w:top w:val="single" w:color="000000" w:sz="4" w:space="0"/>
              <w:left w:val="single" w:color="000000" w:sz="4" w:space="0"/>
              <w:bottom w:val="single" w:color="000000" w:sz="4" w:space="0"/>
              <w:right w:val="single" w:color="000000" w:sz="4" w:space="0"/>
            </w:tcBorders>
            <w:noWrap/>
            <w:vAlign w:val="center"/>
          </w:tcPr>
          <w:p w14:paraId="24BFEE38">
            <w:pPr>
              <w:spacing w:after="0" w:line="240" w:lineRule="auto"/>
              <w:jc w:val="center"/>
              <w:rPr>
                <w:rFonts w:ascii="Times New Roman" w:hAnsi="Times New Roman" w:eastAsia="黑体" w:cs="Times New Roman"/>
                <w:b/>
                <w:bCs/>
                <w:color w:val="000000"/>
                <w:sz w:val="28"/>
                <w:szCs w:val="28"/>
              </w:rPr>
            </w:pPr>
            <w:r>
              <w:rPr>
                <w:rFonts w:hint="eastAsia" w:ascii="Times New Roman" w:hAnsi="Times New Roman" w:eastAsia="黑体" w:cs="Times New Roman"/>
                <w:b/>
                <w:bCs/>
                <w:color w:val="000000"/>
                <w:sz w:val="28"/>
                <w:szCs w:val="28"/>
                <w:lang w:eastAsia="zh-CN"/>
              </w:rPr>
              <w:t>手机</w:t>
            </w:r>
          </w:p>
        </w:tc>
        <w:tc>
          <w:tcPr>
            <w:tcW w:w="1984" w:type="dxa"/>
            <w:tcBorders>
              <w:top w:val="single" w:color="000000" w:sz="4" w:space="0"/>
              <w:left w:val="single" w:color="000000" w:sz="4" w:space="0"/>
              <w:bottom w:val="single" w:color="000000" w:sz="4" w:space="0"/>
              <w:right w:val="single" w:color="000000" w:sz="4" w:space="0"/>
            </w:tcBorders>
            <w:noWrap/>
            <w:vAlign w:val="center"/>
          </w:tcPr>
          <w:p w14:paraId="722297C8">
            <w:pPr>
              <w:spacing w:after="0" w:line="240" w:lineRule="auto"/>
              <w:jc w:val="center"/>
              <w:rPr>
                <w:rFonts w:hint="default" w:ascii="Times New Roman" w:hAnsi="Times New Roman" w:eastAsia="仿宋" w:cs="Times New Roman"/>
                <w:color w:val="000000"/>
                <w:sz w:val="28"/>
                <w:szCs w:val="28"/>
                <w:lang w:val="en-US" w:eastAsia="zh-CN"/>
              </w:rPr>
            </w:pPr>
            <w:r>
              <w:rPr>
                <w:rFonts w:hint="eastAsia" w:ascii="Times New Roman" w:hAnsi="Times New Roman" w:eastAsia="仿宋" w:cs="Times New Roman"/>
                <w:color w:val="000000"/>
                <w:sz w:val="28"/>
                <w:szCs w:val="28"/>
                <w:lang w:val="en-US" w:eastAsia="zh-CN"/>
              </w:rPr>
              <w:t>18251810704</w:t>
            </w:r>
          </w:p>
        </w:tc>
        <w:tc>
          <w:tcPr>
            <w:tcW w:w="1346" w:type="dxa"/>
            <w:tcBorders>
              <w:top w:val="single" w:color="000000" w:sz="4" w:space="0"/>
              <w:left w:val="single" w:color="000000" w:sz="4" w:space="0"/>
              <w:bottom w:val="single" w:color="000000" w:sz="4" w:space="0"/>
              <w:right w:val="single" w:color="000000" w:sz="4" w:space="0"/>
            </w:tcBorders>
            <w:noWrap/>
            <w:vAlign w:val="center"/>
          </w:tcPr>
          <w:p w14:paraId="3425D1C3">
            <w:pPr>
              <w:spacing w:after="0" w:line="240" w:lineRule="auto"/>
              <w:jc w:val="center"/>
              <w:rPr>
                <w:rFonts w:ascii="Times New Roman" w:hAnsi="Times New Roman" w:eastAsia="黑体" w:cs="Times New Roman"/>
                <w:b/>
                <w:bCs/>
                <w:color w:val="000000"/>
                <w:sz w:val="28"/>
                <w:szCs w:val="28"/>
              </w:rPr>
            </w:pPr>
            <w:r>
              <w:rPr>
                <w:rFonts w:hint="eastAsia" w:ascii="Times New Roman" w:hAnsi="Times New Roman" w:eastAsia="黑体" w:cs="Times New Roman"/>
                <w:b/>
                <w:bCs/>
                <w:color w:val="000000"/>
                <w:sz w:val="28"/>
                <w:szCs w:val="28"/>
                <w:lang w:eastAsia="zh-CN"/>
              </w:rPr>
              <w:t>邮箱</w:t>
            </w:r>
          </w:p>
        </w:tc>
        <w:tc>
          <w:tcPr>
            <w:tcW w:w="3331" w:type="dxa"/>
            <w:tcBorders>
              <w:top w:val="single" w:color="000000" w:sz="4" w:space="0"/>
              <w:left w:val="single" w:color="000000" w:sz="4" w:space="0"/>
              <w:bottom w:val="single" w:color="000000" w:sz="4" w:space="0"/>
              <w:right w:val="single" w:color="000000" w:sz="4" w:space="0"/>
            </w:tcBorders>
            <w:noWrap/>
            <w:vAlign w:val="center"/>
          </w:tcPr>
          <w:p w14:paraId="29ECF44B">
            <w:pPr>
              <w:spacing w:after="0" w:line="240" w:lineRule="auto"/>
              <w:jc w:val="center"/>
              <w:rPr>
                <w:rFonts w:hint="default" w:ascii="Times New Roman" w:hAnsi="Times New Roman" w:eastAsia="仿宋" w:cs="Times New Roman"/>
                <w:color w:val="000000"/>
                <w:sz w:val="28"/>
                <w:szCs w:val="28"/>
                <w:lang w:val="en-US" w:eastAsia="zh-CN"/>
              </w:rPr>
            </w:pPr>
            <w:r>
              <w:rPr>
                <w:rFonts w:hint="eastAsia" w:ascii="Times New Roman" w:hAnsi="Times New Roman" w:eastAsia="仿宋" w:cs="Times New Roman"/>
                <w:color w:val="000000"/>
                <w:sz w:val="28"/>
                <w:szCs w:val="28"/>
                <w:lang w:val="en-US" w:eastAsia="zh-CN"/>
              </w:rPr>
              <w:t>lmge@njzq.com.cn</w:t>
            </w:r>
          </w:p>
        </w:tc>
      </w:tr>
      <w:tr w14:paraId="3EA88B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0" w:hRule="atLeast"/>
          <w:jc w:val="center"/>
        </w:trPr>
        <w:tc>
          <w:tcPr>
            <w:tcW w:w="10063" w:type="dxa"/>
            <w:gridSpan w:val="5"/>
            <w:tcBorders>
              <w:top w:val="single" w:color="000000" w:sz="4" w:space="0"/>
              <w:left w:val="single" w:color="000000" w:sz="4" w:space="0"/>
              <w:bottom w:val="single" w:color="000000" w:sz="4" w:space="0"/>
              <w:right w:val="single" w:color="000000" w:sz="4" w:space="0"/>
            </w:tcBorders>
            <w:noWrap/>
            <w:vAlign w:val="center"/>
          </w:tcPr>
          <w:p w14:paraId="68AFE31C">
            <w:pPr>
              <w:spacing w:after="0" w:line="240" w:lineRule="auto"/>
              <w:jc w:val="center"/>
              <w:rPr>
                <w:rFonts w:ascii="Times New Roman" w:hAnsi="Times New Roman" w:eastAsia="黑体" w:cs="Times New Roman"/>
                <w:b/>
                <w:bCs/>
                <w:color w:val="000000"/>
                <w:sz w:val="28"/>
                <w:szCs w:val="28"/>
              </w:rPr>
            </w:pPr>
            <w:r>
              <w:rPr>
                <w:rFonts w:hint="eastAsia" w:ascii="Times New Roman" w:hAnsi="Times New Roman" w:eastAsia="黑体" w:cs="Times New Roman"/>
                <w:b/>
                <w:bCs/>
                <w:color w:val="000000"/>
                <w:sz w:val="28"/>
                <w:szCs w:val="28"/>
                <w:lang w:eastAsia="zh-CN"/>
              </w:rPr>
              <w:t>二、命题信息</w:t>
            </w:r>
          </w:p>
        </w:tc>
      </w:tr>
      <w:tr w14:paraId="7B3A453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0" w:hRule="atLeast"/>
          <w:jc w:val="center"/>
        </w:trPr>
        <w:tc>
          <w:tcPr>
            <w:tcW w:w="2126" w:type="dxa"/>
            <w:tcBorders>
              <w:top w:val="single" w:color="000000" w:sz="4" w:space="0"/>
              <w:left w:val="single" w:color="000000" w:sz="4" w:space="0"/>
              <w:bottom w:val="single" w:color="000000" w:sz="4" w:space="0"/>
              <w:right w:val="single" w:color="000000" w:sz="4" w:space="0"/>
            </w:tcBorders>
            <w:noWrap/>
            <w:vAlign w:val="center"/>
          </w:tcPr>
          <w:p w14:paraId="62F044AB">
            <w:pPr>
              <w:spacing w:after="0" w:line="240" w:lineRule="auto"/>
              <w:jc w:val="center"/>
              <w:rPr>
                <w:rFonts w:ascii="Times New Roman" w:hAnsi="Times New Roman" w:eastAsia="黑体" w:cs="Times New Roman"/>
                <w:b/>
                <w:bCs/>
                <w:color w:val="000000"/>
                <w:sz w:val="28"/>
                <w:szCs w:val="28"/>
              </w:rPr>
            </w:pPr>
            <w:r>
              <w:rPr>
                <w:rFonts w:hint="eastAsia" w:ascii="Times New Roman" w:hAnsi="Times New Roman" w:eastAsia="黑体" w:cs="Times New Roman"/>
                <w:b/>
                <w:bCs/>
                <w:color w:val="000000"/>
                <w:sz w:val="28"/>
                <w:szCs w:val="28"/>
                <w:lang w:eastAsia="zh-CN"/>
              </w:rPr>
              <w:t>命题名称</w:t>
            </w:r>
          </w:p>
        </w:tc>
        <w:tc>
          <w:tcPr>
            <w:tcW w:w="7937" w:type="dxa"/>
            <w:gridSpan w:val="4"/>
            <w:tcBorders>
              <w:top w:val="single" w:color="000000" w:sz="4" w:space="0"/>
              <w:left w:val="single" w:color="000000" w:sz="4" w:space="0"/>
              <w:bottom w:val="single" w:color="000000" w:sz="4" w:space="0"/>
              <w:right w:val="single" w:color="000000" w:sz="4" w:space="0"/>
            </w:tcBorders>
            <w:noWrap/>
            <w:vAlign w:val="center"/>
          </w:tcPr>
          <w:p w14:paraId="36872F9C">
            <w:pPr>
              <w:spacing w:after="0" w:line="240" w:lineRule="auto"/>
              <w:jc w:val="center"/>
              <w:rPr>
                <w:rFonts w:ascii="Times New Roman" w:hAnsi="Times New Roman" w:eastAsia="仿宋" w:cs="Times New Roman"/>
                <w:b/>
                <w:bCs/>
                <w:color w:val="000000"/>
                <w:sz w:val="28"/>
                <w:szCs w:val="28"/>
                <w:lang w:val="en-US" w:eastAsia="zh-CN"/>
              </w:rPr>
            </w:pPr>
            <w:r>
              <w:rPr>
                <w:rFonts w:hint="eastAsia" w:ascii="Times New Roman" w:hAnsi="Times New Roman" w:eastAsia="仿宋" w:cs="Times New Roman"/>
                <w:b/>
                <w:bCs/>
                <w:color w:val="000000"/>
                <w:sz w:val="28"/>
                <w:szCs w:val="28"/>
                <w:lang w:val="en-US" w:eastAsia="zh-CN"/>
              </w:rPr>
              <w:t>基于人工智能的债权融资文本内容核查</w:t>
            </w:r>
          </w:p>
        </w:tc>
      </w:tr>
      <w:tr w14:paraId="63C4308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0" w:hRule="atLeast"/>
          <w:jc w:val="center"/>
        </w:trPr>
        <w:tc>
          <w:tcPr>
            <w:tcW w:w="2126" w:type="dxa"/>
            <w:vMerge w:val="restart"/>
            <w:tcBorders>
              <w:top w:val="single" w:color="000000" w:sz="4" w:space="0"/>
              <w:left w:val="single" w:color="000000" w:sz="4" w:space="0"/>
              <w:bottom w:val="single" w:color="000000" w:sz="4" w:space="0"/>
              <w:right w:val="single" w:color="000000" w:sz="4" w:space="0"/>
            </w:tcBorders>
            <w:noWrap/>
            <w:vAlign w:val="center"/>
          </w:tcPr>
          <w:p w14:paraId="057D5A9F">
            <w:pPr>
              <w:spacing w:after="0" w:line="240" w:lineRule="auto"/>
              <w:jc w:val="center"/>
              <w:rPr>
                <w:rFonts w:ascii="Times New Roman" w:hAnsi="Times New Roman" w:eastAsia="黑体" w:cs="Times New Roman"/>
                <w:b/>
                <w:bCs/>
                <w:color w:val="000000"/>
                <w:sz w:val="28"/>
                <w:szCs w:val="28"/>
              </w:rPr>
            </w:pPr>
            <w:r>
              <w:rPr>
                <w:rFonts w:hint="eastAsia" w:ascii="Times New Roman" w:hAnsi="Times New Roman" w:eastAsia="黑体" w:cs="宋体"/>
                <w:b/>
                <w:bCs/>
                <w:color w:val="000000"/>
                <w:sz w:val="28"/>
                <w:szCs w:val="28"/>
                <w:lang w:eastAsia="zh-CN"/>
              </w:rPr>
              <w:t>命题概述</w:t>
            </w:r>
          </w:p>
        </w:tc>
        <w:tc>
          <w:tcPr>
            <w:tcW w:w="7937" w:type="dxa"/>
            <w:gridSpan w:val="4"/>
            <w:vMerge w:val="restart"/>
            <w:tcBorders>
              <w:top w:val="single" w:color="000000" w:sz="4" w:space="0"/>
              <w:left w:val="single" w:color="000000" w:sz="4" w:space="0"/>
              <w:bottom w:val="single" w:color="000000" w:sz="4" w:space="0"/>
              <w:right w:val="single" w:color="000000" w:sz="4" w:space="0"/>
            </w:tcBorders>
            <w:noWrap/>
            <w:vAlign w:val="center"/>
          </w:tcPr>
          <w:p w14:paraId="350A35F1">
            <w:pPr>
              <w:spacing w:after="0" w:line="240" w:lineRule="auto"/>
              <w:ind w:firstLine="560" w:firstLineChars="200"/>
              <w:rPr>
                <w:rFonts w:ascii="Times New Roman" w:hAnsi="Times New Roman" w:eastAsia="仿宋" w:cs="Times New Roman"/>
                <w:color w:val="000000"/>
                <w:sz w:val="28"/>
                <w:szCs w:val="28"/>
                <w:lang w:eastAsia="zh-CN"/>
              </w:rPr>
            </w:pPr>
            <w:r>
              <w:rPr>
                <w:rFonts w:hint="eastAsia" w:ascii="Times New Roman" w:hAnsi="Times New Roman" w:eastAsia="仿宋" w:cs="Times New Roman"/>
                <w:color w:val="000000"/>
                <w:sz w:val="28"/>
                <w:szCs w:val="28"/>
                <w:lang w:val="en-US" w:eastAsia="zh-CN"/>
              </w:rPr>
              <w:t>本课题聚焦债权融资业务核心环节——债券募集说明书等申请文件的文本内容核查痛点，依托人工智能大模型、自然语言处理（NLP）、知识图谱等技术，构建集发债主体合规性校验、重大事项智能识别、关键数据精准比对、行文错误自动检测于一体的智能核查功能。实现多类型文本跨文档一致性校验、多维度风险点自动识别，替代传统人工逐页核查模式，提升核查效率与精准度，降低债券发行合规风险，为券商债权融资业务全流程风控提供智能化技术支撑。</w:t>
            </w:r>
          </w:p>
        </w:tc>
      </w:tr>
      <w:tr w14:paraId="583EF9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0" w:hRule="atLeast"/>
          <w:jc w:val="center"/>
        </w:trPr>
        <w:tc>
          <w:tcPr>
            <w:tcW w:w="10063" w:type="dxa"/>
            <w:gridSpan w:val="5"/>
            <w:tcBorders>
              <w:top w:val="single" w:color="000000" w:sz="4" w:space="0"/>
              <w:left w:val="single" w:color="000000" w:sz="4" w:space="0"/>
              <w:bottom w:val="single" w:color="000000" w:sz="4" w:space="0"/>
              <w:right w:val="single" w:color="000000" w:sz="4" w:space="0"/>
            </w:tcBorders>
            <w:noWrap/>
            <w:vAlign w:val="center"/>
          </w:tcPr>
          <w:p w14:paraId="78865393">
            <w:pPr>
              <w:spacing w:after="0" w:line="240" w:lineRule="auto"/>
              <w:rPr>
                <w:rFonts w:ascii="Times New Roman" w:hAnsi="Times New Roman" w:eastAsia="仿宋" w:cs="Times New Roman"/>
                <w:color w:val="000000"/>
                <w:sz w:val="28"/>
                <w:szCs w:val="28"/>
                <w:lang w:eastAsia="zh-CN"/>
              </w:rPr>
            </w:pPr>
            <w:r>
              <w:rPr>
                <w:rFonts w:ascii="Times New Roman" w:hAnsi="Times New Roman" w:eastAsia="黑体" w:cs="Times New Roman"/>
                <w:b/>
                <w:bCs/>
                <w:color w:val="000000"/>
                <w:sz w:val="28"/>
                <w:szCs w:val="28"/>
                <w:lang w:eastAsia="zh-CN"/>
              </w:rPr>
              <w:t>业务场景描述</w:t>
            </w:r>
            <w:r>
              <w:rPr>
                <w:rFonts w:ascii="Times New Roman" w:hAnsi="Times New Roman" w:eastAsia="仿宋" w:cs="Times New Roman"/>
                <w:color w:val="000000"/>
                <w:sz w:val="28"/>
                <w:szCs w:val="28"/>
                <w:lang w:eastAsia="zh-CN"/>
              </w:rPr>
              <w:t>（</w:t>
            </w:r>
            <w:r>
              <w:rPr>
                <w:rFonts w:hint="eastAsia" w:ascii="Times New Roman" w:hAnsi="Times New Roman" w:eastAsia="仿宋" w:cs="Times New Roman"/>
                <w:color w:val="000000"/>
                <w:sz w:val="28"/>
                <w:szCs w:val="28"/>
                <w:lang w:eastAsia="zh-CN"/>
              </w:rPr>
              <w:t>清晰说明现实业务现状、核心瓶颈及亟需解决的必要性</w:t>
            </w:r>
            <w:r>
              <w:rPr>
                <w:rFonts w:ascii="Times New Roman" w:hAnsi="Times New Roman" w:eastAsia="仿宋" w:cs="Times New Roman"/>
                <w:color w:val="000000"/>
                <w:sz w:val="28"/>
                <w:szCs w:val="28"/>
                <w:lang w:eastAsia="zh-CN"/>
              </w:rPr>
              <w:t>）</w:t>
            </w:r>
          </w:p>
          <w:p w14:paraId="544138DE">
            <w:pPr>
              <w:spacing w:after="0" w:line="240" w:lineRule="auto"/>
              <w:ind w:firstLine="560" w:firstLineChars="200"/>
              <w:rPr>
                <w:rFonts w:ascii="Times New Roman" w:hAnsi="Times New Roman" w:eastAsia="仿宋" w:cs="Times New Roman"/>
                <w:color w:val="000000"/>
                <w:sz w:val="28"/>
                <w:szCs w:val="28"/>
                <w:lang w:eastAsia="zh-CN"/>
              </w:rPr>
            </w:pPr>
            <w:r>
              <w:rPr>
                <w:rFonts w:hint="eastAsia" w:ascii="Times New Roman" w:hAnsi="Times New Roman" w:eastAsia="仿宋" w:cs="Times New Roman"/>
                <w:color w:val="000000"/>
                <w:sz w:val="28"/>
                <w:szCs w:val="28"/>
                <w:lang w:val="en-US" w:eastAsia="zh-CN"/>
              </w:rPr>
              <w:t>本场景属于券商债权融资业务的核心合规审核环节，聚焦债券募集说明书等申请文件的文本内容一致性、准确性核查。当前业务完全依赖人工逐页交叉校验：审核人员需对照主文档与多份尽调底稿，逐项核对发债主体资质、重大事项披露、财报关键数据、行文表述等内容，单项目核查周期长达5-10个工作日，且需投入2-3名专业审核人员。</w:t>
            </w:r>
          </w:p>
          <w:p w14:paraId="652F9043">
            <w:pPr>
              <w:spacing w:after="0" w:line="240" w:lineRule="auto"/>
              <w:ind w:firstLine="560" w:firstLineChars="200"/>
              <w:rPr>
                <w:rFonts w:ascii="Times New Roman" w:hAnsi="Times New Roman" w:eastAsia="仿宋" w:cs="Times New Roman"/>
                <w:color w:val="000000"/>
                <w:sz w:val="28"/>
                <w:szCs w:val="28"/>
                <w:lang w:eastAsia="zh-CN"/>
              </w:rPr>
            </w:pPr>
            <w:r>
              <w:rPr>
                <w:rFonts w:hint="eastAsia" w:ascii="Times New Roman" w:hAnsi="Times New Roman" w:eastAsia="仿宋" w:cs="Times New Roman"/>
                <w:color w:val="000000"/>
                <w:sz w:val="28"/>
                <w:szCs w:val="28"/>
                <w:lang w:val="en-US" w:eastAsia="zh-CN"/>
              </w:rPr>
              <w:t>核心瓶颈突出：一是效率低下，人工核查难以匹配债权融资业务规模扩张节奏，批量项目易出现审核积压；二是合规风险高，人工核查易遗漏隐性数据矛盾、重大事项披露不全等问题，曾出现过因财报数据前后不一致被监管问询的案例；三是成本高昂，需投入大量人力成本与时间成本，且审核质量依赖人员经验，标准难以统一。</w:t>
            </w:r>
          </w:p>
          <w:p w14:paraId="59742868">
            <w:pPr>
              <w:spacing w:after="0" w:line="240" w:lineRule="auto"/>
              <w:ind w:firstLine="560" w:firstLineChars="200"/>
              <w:rPr>
                <w:rFonts w:ascii="Times New Roman" w:hAnsi="Times New Roman" w:eastAsia="仿宋" w:cs="Times New Roman"/>
                <w:color w:val="000000"/>
                <w:sz w:val="28"/>
                <w:szCs w:val="28"/>
                <w:lang w:val="en-US" w:eastAsia="zh-CN"/>
              </w:rPr>
            </w:pPr>
            <w:r>
              <w:rPr>
                <w:rFonts w:hint="eastAsia" w:ascii="Times New Roman" w:hAnsi="Times New Roman" w:eastAsia="仿宋" w:cs="Times New Roman"/>
                <w:color w:val="000000"/>
                <w:sz w:val="28"/>
                <w:szCs w:val="28"/>
                <w:lang w:val="en-US" w:eastAsia="zh-CN"/>
              </w:rPr>
              <w:t>随着交易所对债券发行信息披露的监管趋严，人工核查模式已无法支撑业务发展需求，亟需构建自动化、智能化的文本核查能力，以提升审核效率、降低合规风险、统一审核标准，保障债券发行业务合规稳健推进。</w:t>
            </w:r>
          </w:p>
        </w:tc>
      </w:tr>
      <w:tr w14:paraId="0C61E05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0" w:hRule="atLeast"/>
          <w:jc w:val="center"/>
        </w:trPr>
        <w:tc>
          <w:tcPr>
            <w:tcW w:w="10063" w:type="dxa"/>
            <w:gridSpan w:val="5"/>
            <w:tcBorders>
              <w:top w:val="single" w:color="000000" w:sz="4" w:space="0"/>
              <w:left w:val="single" w:color="000000" w:sz="4" w:space="0"/>
              <w:bottom w:val="single" w:color="000000" w:sz="4" w:space="0"/>
              <w:right w:val="single" w:color="000000" w:sz="4" w:space="0"/>
            </w:tcBorders>
            <w:noWrap/>
            <w:vAlign w:val="center"/>
          </w:tcPr>
          <w:p w14:paraId="03049C8F">
            <w:pPr>
              <w:spacing w:after="0" w:line="240" w:lineRule="auto"/>
              <w:rPr>
                <w:rFonts w:ascii="Times New Roman" w:hAnsi="Times New Roman" w:eastAsia="仿宋" w:cs="Times New Roman"/>
                <w:color w:val="000000"/>
                <w:sz w:val="28"/>
                <w:szCs w:val="28"/>
                <w:lang w:eastAsia="zh-CN"/>
              </w:rPr>
            </w:pPr>
            <w:r>
              <w:rPr>
                <w:rFonts w:ascii="Times New Roman" w:hAnsi="Times New Roman" w:eastAsia="黑体" w:cs="Times New Roman"/>
                <w:b/>
                <w:bCs/>
                <w:color w:val="000000"/>
                <w:sz w:val="28"/>
                <w:szCs w:val="28"/>
                <w:lang w:eastAsia="zh-CN"/>
              </w:rPr>
              <w:t>技术攻关问题描述</w:t>
            </w:r>
            <w:r>
              <w:rPr>
                <w:rFonts w:ascii="Times New Roman" w:hAnsi="Times New Roman" w:eastAsia="仿宋" w:cs="Times New Roman"/>
                <w:color w:val="000000"/>
                <w:sz w:val="28"/>
                <w:szCs w:val="28"/>
                <w:lang w:eastAsia="zh-CN"/>
              </w:rPr>
              <w:t>（</w:t>
            </w:r>
            <w:r>
              <w:rPr>
                <w:rFonts w:hint="eastAsia" w:ascii="Times New Roman" w:hAnsi="Times New Roman" w:eastAsia="仿宋" w:cs="Times New Roman"/>
                <w:color w:val="000000"/>
                <w:sz w:val="28"/>
                <w:szCs w:val="28"/>
                <w:lang w:eastAsia="zh-CN"/>
              </w:rPr>
              <w:t>提炼业务瓶颈对应的技术卡点，说明难点及现有方法不足</w:t>
            </w:r>
            <w:r>
              <w:rPr>
                <w:rFonts w:ascii="Times New Roman" w:hAnsi="Times New Roman" w:eastAsia="仿宋" w:cs="Times New Roman"/>
                <w:color w:val="000000"/>
                <w:sz w:val="28"/>
                <w:szCs w:val="28"/>
                <w:lang w:eastAsia="zh-CN"/>
              </w:rPr>
              <w:t>）</w:t>
            </w:r>
          </w:p>
          <w:p w14:paraId="62F6C46F">
            <w:pPr>
              <w:spacing w:after="0" w:line="360" w:lineRule="atLeast"/>
              <w:ind w:firstLine="482" w:firstLineChars="200"/>
              <w:jc w:val="both"/>
              <w:rPr>
                <w:rFonts w:hint="eastAsia"/>
                <w:color w:val="000000"/>
                <w:sz w:val="24"/>
                <w:szCs w:val="24"/>
                <w:lang w:eastAsia="zh-CN"/>
              </w:rPr>
            </w:pPr>
            <w:r>
              <w:rPr>
                <w:rStyle w:val="8"/>
                <w:rFonts w:ascii="宋体" w:hAnsi="宋体" w:eastAsia="宋体" w:cs="宋体"/>
                <w:bCs/>
                <w:color w:val="000000"/>
                <w:sz w:val="24"/>
                <w:szCs w:val="24"/>
                <w:lang w:val="en-US" w:eastAsia="zh-CN" w:bidi="ar"/>
              </w:rPr>
              <w:t>多源异构金融文本的统一解析与对齐困难</w:t>
            </w:r>
            <w:r>
              <w:rPr>
                <w:rFonts w:ascii="宋体" w:hAnsi="宋体" w:eastAsia="宋体" w:cs="宋体"/>
                <w:color w:val="000000"/>
                <w:sz w:val="24"/>
                <w:szCs w:val="24"/>
                <w:lang w:val="en-US" w:eastAsia="zh-CN" w:bidi="ar"/>
              </w:rPr>
              <w:t>。募集说明书、审计报告等</w:t>
            </w:r>
            <w:r>
              <w:rPr>
                <w:rFonts w:hint="eastAsia" w:ascii="宋体" w:hAnsi="宋体" w:eastAsia="宋体" w:cs="宋体"/>
                <w:color w:val="000000"/>
                <w:sz w:val="24"/>
                <w:szCs w:val="24"/>
                <w:lang w:val="en-US" w:eastAsia="zh-CN" w:bidi="ar"/>
              </w:rPr>
              <w:t>申请文件</w:t>
            </w:r>
            <w:r>
              <w:rPr>
                <w:rFonts w:ascii="宋体" w:hAnsi="宋体" w:eastAsia="宋体" w:cs="宋体"/>
                <w:color w:val="000000"/>
                <w:sz w:val="24"/>
                <w:szCs w:val="24"/>
                <w:lang w:val="en-US" w:eastAsia="zh-CN" w:bidi="ar"/>
              </w:rPr>
              <w:t>文档格式多样（PDF、Word、扫描件）、结构非标准化，且不同文档中同一业务字段的表述方式、位置分布差异大，传统OCR与通用NLP工具难以实现跨文档字段的精准抽取与关联对齐，无法为后续核查提供统一的数据基础。</w:t>
            </w:r>
          </w:p>
          <w:p w14:paraId="2FDAAFCB">
            <w:pPr>
              <w:spacing w:after="0" w:line="360" w:lineRule="atLeast"/>
              <w:ind w:firstLine="482" w:firstLineChars="200"/>
              <w:jc w:val="both"/>
              <w:rPr>
                <w:rFonts w:hint="eastAsia"/>
                <w:color w:val="000000"/>
                <w:sz w:val="24"/>
                <w:szCs w:val="24"/>
              </w:rPr>
            </w:pPr>
            <w:r>
              <w:rPr>
                <w:rStyle w:val="8"/>
                <w:rFonts w:ascii="宋体" w:hAnsi="宋体" w:eastAsia="宋体" w:cs="宋体"/>
                <w:bCs/>
                <w:color w:val="000000"/>
                <w:sz w:val="24"/>
                <w:szCs w:val="24"/>
                <w:lang w:val="en-US" w:eastAsia="zh-CN" w:bidi="ar"/>
              </w:rPr>
              <w:t>跨文档关键数据一致性校验技术</w:t>
            </w:r>
            <w:r>
              <w:rPr>
                <w:rFonts w:ascii="宋体" w:hAnsi="宋体" w:eastAsia="宋体" w:cs="宋体"/>
                <w:color w:val="000000"/>
                <w:sz w:val="24"/>
                <w:szCs w:val="24"/>
                <w:lang w:val="en-US" w:eastAsia="zh-CN" w:bidi="ar"/>
              </w:rPr>
              <w:t>。财报数据、比例指标、计算数据分散在不同文档中，需同时实现数值抽取、逻辑计算验证与跨文档比对，现有通用数据校验工具仅支持单一文档数据核对，无法处理非标金融数据（如合并报表数据、自定义计算指标），难以识别隐性数据矛盾与计算偏差。</w:t>
            </w:r>
          </w:p>
          <w:p w14:paraId="7396C494">
            <w:pPr>
              <w:spacing w:after="0" w:line="360" w:lineRule="atLeast"/>
              <w:ind w:firstLine="482" w:firstLineChars="200"/>
              <w:jc w:val="both"/>
              <w:rPr>
                <w:rFonts w:hint="eastAsia"/>
                <w:color w:val="000000"/>
                <w:sz w:val="24"/>
                <w:szCs w:val="24"/>
              </w:rPr>
            </w:pPr>
            <w:r>
              <w:rPr>
                <w:rStyle w:val="8"/>
                <w:rFonts w:ascii="宋体" w:hAnsi="宋体" w:eastAsia="宋体" w:cs="宋体"/>
                <w:bCs/>
                <w:color w:val="000000"/>
                <w:sz w:val="24"/>
                <w:szCs w:val="24"/>
                <w:lang w:val="en-US" w:eastAsia="zh-CN" w:bidi="ar"/>
              </w:rPr>
              <w:t>债权融资重大事项的语义识别与风险判定精度不足</w:t>
            </w:r>
            <w:r>
              <w:rPr>
                <w:rFonts w:ascii="宋体" w:hAnsi="宋体" w:eastAsia="宋体" w:cs="宋体"/>
                <w:color w:val="000000"/>
                <w:sz w:val="24"/>
                <w:szCs w:val="24"/>
                <w:lang w:val="en-US" w:eastAsia="zh-CN" w:bidi="ar"/>
              </w:rPr>
              <w:t>。重大事项涉及诉讼、担保、环保处罚等多类场景，文本表述多为自然语言描述，且存在模糊表述、隐性关联等情况，通用大模型缺乏金融领域专项知识，难以精准识别风险事项并分级判定，易出现漏判、误判。</w:t>
            </w:r>
          </w:p>
          <w:p w14:paraId="77A4E7E9">
            <w:pPr>
              <w:spacing w:after="0" w:line="360" w:lineRule="atLeast"/>
              <w:ind w:firstLine="482" w:firstLineChars="200"/>
              <w:jc w:val="both"/>
              <w:rPr>
                <w:rFonts w:ascii="Times New Roman" w:hAnsi="Times New Roman" w:eastAsia="仿宋" w:cs="Times New Roman"/>
                <w:color w:val="000000"/>
                <w:sz w:val="28"/>
                <w:szCs w:val="28"/>
                <w:lang w:eastAsia="zh-CN"/>
              </w:rPr>
            </w:pPr>
            <w:r>
              <w:rPr>
                <w:rStyle w:val="8"/>
                <w:rFonts w:ascii="宋体" w:hAnsi="宋体" w:eastAsia="宋体" w:cs="宋体"/>
                <w:bCs/>
                <w:color w:val="000000"/>
                <w:sz w:val="24"/>
                <w:szCs w:val="24"/>
                <w:lang w:val="en-US" w:eastAsia="zh-CN" w:bidi="ar"/>
              </w:rPr>
              <w:t>专业金融文本行文错误检测能力弱</w:t>
            </w:r>
            <w:r>
              <w:rPr>
                <w:rFonts w:ascii="宋体" w:hAnsi="宋体" w:eastAsia="宋体" w:cs="宋体"/>
                <w:color w:val="000000"/>
                <w:sz w:val="24"/>
                <w:szCs w:val="24"/>
                <w:lang w:val="en-US" w:eastAsia="zh-CN" w:bidi="ar"/>
              </w:rPr>
              <w:t>。现有文本纠错工具仅支持通用语法错误检测，无法识别债权融资文本中特有的数据引用错误、逻辑矛盾、专业术语误用等问题，难以满足合规审核的精细化要求。</w:t>
            </w:r>
          </w:p>
        </w:tc>
      </w:tr>
      <w:tr w14:paraId="441C009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0" w:hRule="atLeast"/>
          <w:jc w:val="center"/>
        </w:trPr>
        <w:tc>
          <w:tcPr>
            <w:tcW w:w="10063" w:type="dxa"/>
            <w:gridSpan w:val="5"/>
            <w:tcBorders>
              <w:top w:val="single" w:color="000000" w:sz="4" w:space="0"/>
              <w:left w:val="single" w:color="000000" w:sz="4" w:space="0"/>
              <w:bottom w:val="single" w:color="000000" w:sz="4" w:space="0"/>
              <w:right w:val="single" w:color="000000" w:sz="4" w:space="0"/>
            </w:tcBorders>
            <w:noWrap/>
            <w:vAlign w:val="center"/>
          </w:tcPr>
          <w:p w14:paraId="21E8257A">
            <w:pPr>
              <w:spacing w:after="0" w:line="240" w:lineRule="auto"/>
              <w:rPr>
                <w:rFonts w:ascii="Times New Roman" w:hAnsi="Times New Roman" w:eastAsia="仿宋" w:cs="Times New Roman"/>
                <w:color w:val="000000"/>
                <w:sz w:val="28"/>
                <w:szCs w:val="28"/>
                <w:lang w:eastAsia="zh-CN"/>
              </w:rPr>
            </w:pPr>
            <w:r>
              <w:rPr>
                <w:rFonts w:ascii="Times New Roman" w:hAnsi="Times New Roman" w:eastAsia="黑体" w:cs="Times New Roman"/>
                <w:b/>
                <w:bCs/>
                <w:color w:val="000000"/>
                <w:sz w:val="28"/>
                <w:szCs w:val="28"/>
                <w:lang w:eastAsia="zh-CN"/>
              </w:rPr>
              <w:t>攻关任务描述</w:t>
            </w:r>
            <w:r>
              <w:rPr>
                <w:rFonts w:ascii="Times New Roman" w:hAnsi="Times New Roman" w:eastAsia="仿宋" w:cs="Times New Roman"/>
                <w:color w:val="000000"/>
                <w:sz w:val="28"/>
                <w:szCs w:val="28"/>
                <w:lang w:eastAsia="zh-CN"/>
              </w:rPr>
              <w:t>（</w:t>
            </w:r>
            <w:r>
              <w:rPr>
                <w:rFonts w:hint="eastAsia" w:ascii="Times New Roman" w:hAnsi="Times New Roman" w:eastAsia="仿宋" w:cs="Times New Roman"/>
                <w:color w:val="000000"/>
                <w:sz w:val="28"/>
                <w:szCs w:val="28"/>
                <w:lang w:eastAsia="zh-CN"/>
              </w:rPr>
              <w:t>针对每一个技术攻关问题，明确需完成的具体任务及成果形式</w:t>
            </w:r>
            <w:r>
              <w:rPr>
                <w:rFonts w:ascii="Times New Roman" w:hAnsi="Times New Roman" w:eastAsia="仿宋" w:cs="Times New Roman"/>
                <w:color w:val="000000"/>
                <w:sz w:val="28"/>
                <w:szCs w:val="28"/>
                <w:lang w:eastAsia="zh-CN"/>
              </w:rPr>
              <w:t>）</w:t>
            </w:r>
          </w:p>
          <w:p w14:paraId="61F271D1">
            <w:pPr>
              <w:spacing w:after="0" w:line="360" w:lineRule="atLeast"/>
              <w:ind w:firstLine="482" w:firstLineChars="200"/>
              <w:jc w:val="both"/>
              <w:rPr>
                <w:rFonts w:hint="eastAsia"/>
                <w:color w:val="000000"/>
                <w:sz w:val="24"/>
                <w:szCs w:val="24"/>
                <w:lang w:eastAsia="zh-CN"/>
              </w:rPr>
            </w:pPr>
            <w:r>
              <w:rPr>
                <w:rStyle w:val="8"/>
                <w:rFonts w:ascii="宋体" w:hAnsi="宋体" w:eastAsia="宋体" w:cs="宋体"/>
                <w:bCs/>
                <w:color w:val="000000"/>
                <w:sz w:val="24"/>
                <w:szCs w:val="24"/>
                <w:lang w:val="en-US" w:eastAsia="zh-CN" w:bidi="ar"/>
              </w:rPr>
              <w:t>针对多源异构文本解析对齐难题</w:t>
            </w:r>
            <w:r>
              <w:rPr>
                <w:rFonts w:ascii="宋体" w:hAnsi="宋体" w:eastAsia="宋体" w:cs="宋体"/>
                <w:color w:val="000000"/>
                <w:sz w:val="24"/>
                <w:szCs w:val="24"/>
                <w:lang w:val="en-US" w:eastAsia="zh-CN" w:bidi="ar"/>
              </w:rPr>
              <w:t>：构建适配金融场景的多格式文本解析引擎，实现 PDF、Word、扫描件文档的结构化抽取；设计跨文档字段对齐算法，建立 “募集说明书</w:t>
            </w:r>
            <w:r>
              <w:rPr>
                <w:rFonts w:hint="eastAsia" w:ascii="宋体" w:hAnsi="宋体" w:eastAsia="宋体" w:cs="宋体"/>
                <w:color w:val="000000"/>
                <w:sz w:val="24"/>
                <w:szCs w:val="24"/>
                <w:lang w:val="en-US" w:eastAsia="zh-CN" w:bidi="ar"/>
              </w:rPr>
              <w:t>-</w:t>
            </w:r>
            <w:r>
              <w:rPr>
                <w:rFonts w:ascii="宋体" w:hAnsi="宋体" w:eastAsia="宋体" w:cs="宋体"/>
                <w:color w:val="000000"/>
                <w:sz w:val="24"/>
                <w:szCs w:val="24"/>
                <w:lang w:val="en-US" w:eastAsia="zh-CN" w:bidi="ar"/>
              </w:rPr>
              <w:t>审计报告</w:t>
            </w:r>
            <w:r>
              <w:rPr>
                <w:rFonts w:hint="eastAsia" w:ascii="宋体" w:hAnsi="宋体" w:eastAsia="宋体" w:cs="宋体"/>
                <w:color w:val="000000"/>
                <w:sz w:val="24"/>
                <w:szCs w:val="24"/>
                <w:lang w:val="en-US" w:eastAsia="zh-CN" w:bidi="ar"/>
              </w:rPr>
              <w:t>-其他申请文件</w:t>
            </w:r>
            <w:r>
              <w:rPr>
                <w:rFonts w:ascii="宋体" w:hAnsi="宋体" w:eastAsia="宋体" w:cs="宋体"/>
                <w:color w:val="000000"/>
                <w:sz w:val="24"/>
                <w:szCs w:val="24"/>
                <w:lang w:val="en-US" w:eastAsia="zh-CN" w:bidi="ar"/>
              </w:rPr>
              <w:t>”的业务字段映射关系，形成文本解析与对齐工具原型。</w:t>
            </w:r>
          </w:p>
          <w:p w14:paraId="2D05371E">
            <w:pPr>
              <w:spacing w:after="0" w:line="360" w:lineRule="atLeast"/>
              <w:ind w:firstLine="482" w:firstLineChars="200"/>
              <w:jc w:val="both"/>
              <w:rPr>
                <w:rFonts w:hint="eastAsia"/>
                <w:color w:val="000000"/>
                <w:sz w:val="24"/>
                <w:szCs w:val="24"/>
              </w:rPr>
            </w:pPr>
            <w:r>
              <w:rPr>
                <w:rStyle w:val="8"/>
                <w:rFonts w:ascii="宋体" w:hAnsi="宋体" w:eastAsia="宋体" w:cs="宋体"/>
                <w:bCs/>
                <w:color w:val="000000"/>
                <w:sz w:val="24"/>
                <w:szCs w:val="24"/>
                <w:lang w:val="en-US" w:eastAsia="zh-CN" w:bidi="ar"/>
              </w:rPr>
              <w:t>针对跨文档数据校验难题</w:t>
            </w:r>
            <w:r>
              <w:rPr>
                <w:rFonts w:ascii="宋体" w:hAnsi="宋体" w:eastAsia="宋体" w:cs="宋体"/>
                <w:color w:val="000000"/>
                <w:sz w:val="24"/>
                <w:szCs w:val="24"/>
                <w:lang w:val="en-US" w:eastAsia="zh-CN" w:bidi="ar"/>
              </w:rPr>
              <w:t>：研发非标金融数据抽取模型，实现财报数据、比例指标、计算数据的自动标准化抽取；构建数据一致性校验规则库与计算验证模块，开发跨文档数据比对工具，输出数据矛盾与计算偏差核查报告。</w:t>
            </w:r>
          </w:p>
          <w:p w14:paraId="3C204BB8">
            <w:pPr>
              <w:spacing w:after="0" w:line="360" w:lineRule="atLeast"/>
              <w:ind w:firstLine="482" w:firstLineChars="200"/>
              <w:jc w:val="both"/>
              <w:rPr>
                <w:rFonts w:hint="eastAsia"/>
                <w:color w:val="000000"/>
                <w:sz w:val="24"/>
                <w:szCs w:val="24"/>
              </w:rPr>
            </w:pPr>
            <w:r>
              <w:rPr>
                <w:rStyle w:val="8"/>
                <w:rFonts w:ascii="宋体" w:hAnsi="宋体" w:eastAsia="宋体" w:cs="宋体"/>
                <w:bCs/>
                <w:color w:val="000000"/>
                <w:sz w:val="24"/>
                <w:szCs w:val="24"/>
                <w:lang w:val="en-US" w:eastAsia="zh-CN" w:bidi="ar"/>
              </w:rPr>
              <w:t>针对重大事项识别难题</w:t>
            </w:r>
            <w:r>
              <w:rPr>
                <w:rFonts w:ascii="宋体" w:hAnsi="宋体" w:eastAsia="宋体" w:cs="宋体"/>
                <w:color w:val="000000"/>
                <w:sz w:val="24"/>
                <w:szCs w:val="24"/>
                <w:lang w:val="en-US" w:eastAsia="zh-CN" w:bidi="ar"/>
              </w:rPr>
              <w:t>：基于</w:t>
            </w:r>
            <w:r>
              <w:rPr>
                <w:rFonts w:hint="eastAsia" w:ascii="宋体" w:hAnsi="宋体" w:eastAsia="宋体" w:cs="宋体"/>
                <w:color w:val="000000"/>
                <w:sz w:val="24"/>
                <w:szCs w:val="24"/>
                <w:lang w:val="en-US" w:eastAsia="zh-CN" w:bidi="ar"/>
              </w:rPr>
              <w:t>债券</w:t>
            </w:r>
            <w:r>
              <w:rPr>
                <w:rFonts w:ascii="宋体" w:hAnsi="宋体" w:eastAsia="宋体" w:cs="宋体"/>
                <w:color w:val="000000"/>
                <w:sz w:val="24"/>
                <w:szCs w:val="24"/>
                <w:lang w:val="en-US" w:eastAsia="zh-CN" w:bidi="ar"/>
              </w:rPr>
              <w:t>监管规则构建专项知识图谱，明确重大事项判定标准；微调金融领域大模型，开发重大事项语义识别与风险分级模块，实现</w:t>
            </w:r>
            <w:r>
              <w:rPr>
                <w:rFonts w:hint="eastAsia" w:ascii="宋体" w:hAnsi="宋体" w:eastAsia="宋体" w:cs="宋体"/>
                <w:color w:val="000000"/>
                <w:sz w:val="24"/>
                <w:szCs w:val="24"/>
                <w:lang w:val="en-US" w:eastAsia="zh-CN" w:bidi="ar"/>
              </w:rPr>
              <w:t>财务</w:t>
            </w:r>
            <w:r>
              <w:rPr>
                <w:rFonts w:ascii="宋体" w:hAnsi="宋体" w:eastAsia="宋体" w:cs="宋体"/>
                <w:color w:val="000000"/>
                <w:sz w:val="24"/>
                <w:szCs w:val="24"/>
                <w:lang w:val="en-US" w:eastAsia="zh-CN" w:bidi="ar"/>
              </w:rPr>
              <w:t>、</w:t>
            </w:r>
            <w:r>
              <w:rPr>
                <w:rFonts w:hint="eastAsia" w:ascii="宋体" w:hAnsi="宋体" w:eastAsia="宋体" w:cs="宋体"/>
                <w:color w:val="000000"/>
                <w:sz w:val="24"/>
                <w:szCs w:val="24"/>
                <w:lang w:val="en-US" w:eastAsia="zh-CN" w:bidi="ar"/>
              </w:rPr>
              <w:t>行业</w:t>
            </w:r>
            <w:r>
              <w:rPr>
                <w:rFonts w:ascii="宋体" w:hAnsi="宋体" w:eastAsia="宋体" w:cs="宋体"/>
                <w:color w:val="000000"/>
                <w:sz w:val="24"/>
                <w:szCs w:val="24"/>
                <w:lang w:val="en-US" w:eastAsia="zh-CN" w:bidi="ar"/>
              </w:rPr>
              <w:t>等事项的自动识别与风险等级判定。</w:t>
            </w:r>
          </w:p>
          <w:p w14:paraId="7C9D92F7">
            <w:pPr>
              <w:spacing w:after="0" w:line="360" w:lineRule="atLeast"/>
              <w:ind w:firstLine="482" w:firstLineChars="200"/>
              <w:jc w:val="both"/>
              <w:rPr>
                <w:rFonts w:ascii="Times New Roman" w:hAnsi="Times New Roman" w:eastAsia="仿宋" w:cs="Times New Roman"/>
                <w:color w:val="000000"/>
                <w:sz w:val="28"/>
                <w:szCs w:val="28"/>
                <w:lang w:eastAsia="zh-CN"/>
              </w:rPr>
            </w:pPr>
            <w:r>
              <w:rPr>
                <w:rStyle w:val="8"/>
                <w:rFonts w:ascii="宋体" w:hAnsi="宋体" w:eastAsia="宋体" w:cs="宋体"/>
                <w:bCs/>
                <w:color w:val="000000"/>
                <w:sz w:val="24"/>
                <w:szCs w:val="24"/>
                <w:lang w:val="en-US" w:eastAsia="zh-CN" w:bidi="ar"/>
              </w:rPr>
              <w:t>针对行文错误检测难题</w:t>
            </w:r>
            <w:r>
              <w:rPr>
                <w:rFonts w:ascii="宋体" w:hAnsi="宋体" w:eastAsia="宋体" w:cs="宋体"/>
                <w:color w:val="000000"/>
                <w:sz w:val="24"/>
                <w:szCs w:val="24"/>
                <w:lang w:val="en-US" w:eastAsia="zh-CN" w:bidi="ar"/>
              </w:rPr>
              <w:t>：梳理</w:t>
            </w:r>
            <w:r>
              <w:rPr>
                <w:rFonts w:hint="eastAsia" w:ascii="宋体" w:hAnsi="宋体" w:eastAsia="宋体" w:cs="宋体"/>
                <w:color w:val="000000"/>
                <w:sz w:val="24"/>
                <w:szCs w:val="24"/>
                <w:lang w:val="en-US" w:eastAsia="zh-CN" w:bidi="ar"/>
              </w:rPr>
              <w:t>债券</w:t>
            </w:r>
            <w:r>
              <w:rPr>
                <w:rFonts w:ascii="宋体" w:hAnsi="宋体" w:eastAsia="宋体" w:cs="宋体"/>
                <w:color w:val="000000"/>
                <w:sz w:val="24"/>
                <w:szCs w:val="24"/>
                <w:lang w:val="en-US" w:eastAsia="zh-CN" w:bidi="ar"/>
              </w:rPr>
              <w:t>文本行文规范，构建专业行文错误检测规则库；训练金融文本纠错模型，开发行文错误自动检测工具，支持逻辑矛盾、数据引用错误等多类问题的标注与修正。</w:t>
            </w:r>
          </w:p>
        </w:tc>
      </w:tr>
      <w:tr w14:paraId="6B1B85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0" w:hRule="atLeast"/>
          <w:jc w:val="center"/>
        </w:trPr>
        <w:tc>
          <w:tcPr>
            <w:tcW w:w="10063" w:type="dxa"/>
            <w:gridSpan w:val="5"/>
            <w:tcBorders>
              <w:top w:val="single" w:color="000000" w:sz="4" w:space="0"/>
              <w:left w:val="single" w:color="000000" w:sz="4" w:space="0"/>
              <w:bottom w:val="single" w:color="000000" w:sz="4" w:space="0"/>
              <w:right w:val="single" w:color="000000" w:sz="4" w:space="0"/>
            </w:tcBorders>
            <w:noWrap/>
            <w:vAlign w:val="center"/>
          </w:tcPr>
          <w:p w14:paraId="014FB298">
            <w:pPr>
              <w:spacing w:after="0" w:line="240" w:lineRule="auto"/>
              <w:rPr>
                <w:rFonts w:ascii="Times New Roman" w:hAnsi="Times New Roman" w:eastAsia="仿宋" w:cs="Times New Roman"/>
                <w:color w:val="000000"/>
                <w:sz w:val="28"/>
                <w:szCs w:val="28"/>
                <w:lang w:eastAsia="zh-CN"/>
              </w:rPr>
            </w:pPr>
            <w:r>
              <w:rPr>
                <w:rFonts w:ascii="Times New Roman" w:hAnsi="Times New Roman" w:eastAsia="黑体" w:cs="Times New Roman"/>
                <w:b/>
                <w:bCs/>
                <w:color w:val="000000"/>
                <w:sz w:val="28"/>
                <w:szCs w:val="28"/>
                <w:lang w:eastAsia="zh-CN"/>
              </w:rPr>
              <w:t>现有基础</w:t>
            </w:r>
            <w:r>
              <w:rPr>
                <w:rFonts w:ascii="Times New Roman" w:hAnsi="Times New Roman" w:eastAsia="仿宋" w:cs="Times New Roman"/>
                <w:color w:val="000000"/>
                <w:sz w:val="28"/>
                <w:szCs w:val="28"/>
                <w:lang w:eastAsia="zh-CN"/>
              </w:rPr>
              <w:t>（</w:t>
            </w:r>
            <w:r>
              <w:rPr>
                <w:rFonts w:hint="eastAsia" w:ascii="Times New Roman" w:hAnsi="Times New Roman" w:eastAsia="仿宋" w:cs="Times New Roman"/>
                <w:color w:val="000000"/>
                <w:sz w:val="28"/>
                <w:szCs w:val="28"/>
                <w:lang w:eastAsia="zh-CN"/>
              </w:rPr>
              <w:t>命题单位针对技术攻关难点和攻关任务，已开展的研究工作或验证尝试及效果</w:t>
            </w:r>
            <w:r>
              <w:rPr>
                <w:rFonts w:ascii="Times New Roman" w:hAnsi="Times New Roman" w:eastAsia="仿宋" w:cs="Times New Roman"/>
                <w:color w:val="000000"/>
                <w:sz w:val="28"/>
                <w:szCs w:val="28"/>
                <w:lang w:eastAsia="zh-CN"/>
              </w:rPr>
              <w:t>）</w:t>
            </w:r>
          </w:p>
          <w:p w14:paraId="69832FDB">
            <w:pPr>
              <w:spacing w:after="0" w:line="240" w:lineRule="auto"/>
              <w:ind w:firstLine="560" w:firstLineChars="200"/>
              <w:rPr>
                <w:rFonts w:hint="eastAsia" w:ascii="Times New Roman" w:hAnsi="Times New Roman" w:eastAsia="仿宋" w:cs="Times New Roman"/>
                <w:color w:val="000000"/>
                <w:sz w:val="28"/>
                <w:szCs w:val="28"/>
                <w:lang w:val="en-US" w:eastAsia="zh-CN"/>
              </w:rPr>
            </w:pPr>
            <w:r>
              <w:rPr>
                <w:rFonts w:hint="eastAsia" w:ascii="Times New Roman" w:hAnsi="Times New Roman" w:eastAsia="仿宋" w:cs="Times New Roman"/>
                <w:color w:val="000000"/>
                <w:sz w:val="28"/>
                <w:szCs w:val="28"/>
                <w:lang w:val="en-US" w:eastAsia="zh-CN"/>
              </w:rPr>
              <w:t>命题单位已在债券文本核查领域开展多项前期验证工作：</w:t>
            </w:r>
          </w:p>
          <w:p w14:paraId="68CFDF11">
            <w:pPr>
              <w:spacing w:after="0" w:line="240" w:lineRule="auto"/>
              <w:ind w:firstLine="560" w:firstLineChars="200"/>
              <w:rPr>
                <w:rFonts w:hint="eastAsia" w:ascii="Times New Roman" w:hAnsi="Times New Roman" w:eastAsia="仿宋" w:cs="Times New Roman"/>
                <w:color w:val="000000"/>
                <w:sz w:val="28"/>
                <w:szCs w:val="28"/>
                <w:lang w:val="en-US" w:eastAsia="zh-CN"/>
              </w:rPr>
            </w:pPr>
            <w:r>
              <w:rPr>
                <w:rFonts w:hint="eastAsia" w:ascii="Times New Roman" w:hAnsi="Times New Roman" w:eastAsia="仿宋" w:cs="Times New Roman"/>
                <w:color w:val="000000"/>
                <w:sz w:val="28"/>
                <w:szCs w:val="28"/>
                <w:lang w:val="en-US" w:eastAsia="zh-CN"/>
              </w:rPr>
              <w:t>一是积累了多份募集说明书的人工标注，构建了包含数据矛盾、重大事项遗漏、行文错误的标注数据集，为模型训练奠定基础；</w:t>
            </w:r>
          </w:p>
          <w:p w14:paraId="5E407D80">
            <w:pPr>
              <w:spacing w:after="0" w:line="240" w:lineRule="auto"/>
              <w:ind w:firstLine="560" w:firstLineChars="200"/>
              <w:rPr>
                <w:rFonts w:ascii="Times New Roman" w:hAnsi="Times New Roman" w:eastAsia="仿宋" w:cs="Times New Roman"/>
                <w:color w:val="000000"/>
                <w:sz w:val="28"/>
                <w:szCs w:val="28"/>
                <w:lang w:eastAsia="zh-CN"/>
              </w:rPr>
            </w:pPr>
            <w:r>
              <w:rPr>
                <w:rFonts w:hint="eastAsia" w:ascii="Times New Roman" w:hAnsi="Times New Roman" w:eastAsia="仿宋" w:cs="Times New Roman"/>
                <w:color w:val="000000"/>
                <w:sz w:val="28"/>
                <w:szCs w:val="28"/>
                <w:lang w:val="en-US" w:eastAsia="zh-CN"/>
              </w:rPr>
              <w:t>二是梳理了债券发行监管规则，形成了初步的审核经验，已在人工审核中投入使用。</w:t>
            </w:r>
          </w:p>
        </w:tc>
      </w:tr>
      <w:tr w14:paraId="1E0674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0" w:hRule="atLeast"/>
          <w:jc w:val="center"/>
        </w:trPr>
        <w:tc>
          <w:tcPr>
            <w:tcW w:w="10063" w:type="dxa"/>
            <w:gridSpan w:val="5"/>
            <w:tcBorders>
              <w:top w:val="single" w:color="000000" w:sz="4" w:space="0"/>
              <w:left w:val="single" w:color="000000" w:sz="4" w:space="0"/>
              <w:bottom w:val="single" w:color="000000" w:sz="4" w:space="0"/>
              <w:right w:val="single" w:color="000000" w:sz="4" w:space="0"/>
            </w:tcBorders>
            <w:noWrap/>
            <w:vAlign w:val="center"/>
          </w:tcPr>
          <w:p w14:paraId="19D485E1">
            <w:pPr>
              <w:spacing w:after="0" w:line="240" w:lineRule="auto"/>
              <w:rPr>
                <w:rFonts w:ascii="Times New Roman" w:hAnsi="Times New Roman" w:eastAsia="仿宋" w:cs="Times New Roman"/>
                <w:color w:val="000000"/>
                <w:sz w:val="28"/>
                <w:szCs w:val="28"/>
                <w:lang w:eastAsia="zh-CN"/>
              </w:rPr>
            </w:pPr>
            <w:r>
              <w:rPr>
                <w:rFonts w:ascii="Times New Roman" w:hAnsi="Times New Roman" w:eastAsia="黑体" w:cs="Times New Roman"/>
                <w:b/>
                <w:bCs/>
                <w:color w:val="000000"/>
                <w:sz w:val="28"/>
                <w:szCs w:val="28"/>
                <w:lang w:eastAsia="zh-CN"/>
              </w:rPr>
              <w:t>任务目标</w:t>
            </w:r>
            <w:r>
              <w:rPr>
                <w:rFonts w:ascii="Times New Roman" w:hAnsi="Times New Roman" w:eastAsia="仿宋" w:cs="Times New Roman"/>
                <w:color w:val="000000"/>
                <w:sz w:val="28"/>
                <w:szCs w:val="28"/>
                <w:lang w:eastAsia="zh-CN"/>
              </w:rPr>
              <w:t>（</w:t>
            </w:r>
            <w:r>
              <w:rPr>
                <w:rFonts w:hint="eastAsia" w:ascii="Times New Roman" w:hAnsi="Times New Roman" w:eastAsia="仿宋" w:cs="Times New Roman"/>
                <w:color w:val="000000"/>
                <w:sz w:val="28"/>
                <w:szCs w:val="28"/>
                <w:lang w:eastAsia="zh-CN"/>
              </w:rPr>
              <w:t>技术攻关的总体目标、量化技术指标及具体成果交付形式</w:t>
            </w:r>
            <w:r>
              <w:rPr>
                <w:rFonts w:ascii="Times New Roman" w:hAnsi="Times New Roman" w:eastAsia="仿宋" w:cs="Times New Roman"/>
                <w:color w:val="000000"/>
                <w:sz w:val="28"/>
                <w:szCs w:val="28"/>
                <w:lang w:eastAsia="zh-CN"/>
              </w:rPr>
              <w:t>）</w:t>
            </w:r>
          </w:p>
          <w:p w14:paraId="0920CC1A">
            <w:pPr>
              <w:spacing w:after="0" w:line="240" w:lineRule="auto"/>
              <w:ind w:firstLine="562" w:firstLineChars="200"/>
              <w:rPr>
                <w:rFonts w:ascii="Times New Roman" w:hAnsi="Times New Roman" w:eastAsia="仿宋" w:cs="Times New Roman"/>
                <w:b/>
                <w:bCs/>
                <w:color w:val="000000"/>
                <w:sz w:val="28"/>
                <w:szCs w:val="28"/>
                <w:lang w:val="en-US" w:eastAsia="zh-CN"/>
              </w:rPr>
            </w:pPr>
            <w:r>
              <w:rPr>
                <w:rFonts w:hint="eastAsia" w:ascii="Times New Roman" w:hAnsi="Times New Roman" w:eastAsia="仿宋" w:cs="Times New Roman"/>
                <w:b/>
                <w:bCs/>
                <w:color w:val="000000"/>
                <w:sz w:val="28"/>
                <w:szCs w:val="28"/>
                <w:lang w:val="en-US" w:eastAsia="zh-CN"/>
              </w:rPr>
              <w:t>总体目标</w:t>
            </w:r>
          </w:p>
          <w:p w14:paraId="4A42C03C">
            <w:pPr>
              <w:spacing w:after="0" w:line="240" w:lineRule="auto"/>
              <w:ind w:firstLine="560" w:firstLineChars="200"/>
              <w:rPr>
                <w:rFonts w:ascii="Times New Roman" w:hAnsi="Times New Roman" w:eastAsia="仿宋" w:cs="Times New Roman"/>
                <w:color w:val="000000"/>
                <w:sz w:val="28"/>
                <w:szCs w:val="28"/>
                <w:lang w:val="en-US" w:eastAsia="zh-CN"/>
              </w:rPr>
            </w:pPr>
            <w:r>
              <w:rPr>
                <w:rFonts w:hint="eastAsia" w:ascii="Times New Roman" w:hAnsi="Times New Roman" w:eastAsia="仿宋" w:cs="Times New Roman"/>
                <w:color w:val="000000"/>
                <w:sz w:val="28"/>
                <w:szCs w:val="28"/>
                <w:lang w:val="en-US" w:eastAsia="zh-CN"/>
              </w:rPr>
              <w:t>构建一套可用于非公开发行公司债券发行审核的债权融资文本智能核查系统，实现募集说明书与尽职调查底稿的全维度、自动化、精准化核查，支撑债券发行业务合规审核需求。</w:t>
            </w:r>
          </w:p>
          <w:p w14:paraId="7DD59FE0">
            <w:pPr>
              <w:spacing w:after="0" w:line="240" w:lineRule="auto"/>
              <w:ind w:firstLine="562" w:firstLineChars="200"/>
              <w:rPr>
                <w:rFonts w:ascii="Times New Roman" w:hAnsi="Times New Roman" w:eastAsia="仿宋" w:cs="Times New Roman"/>
                <w:b/>
                <w:bCs/>
                <w:color w:val="000000"/>
                <w:sz w:val="28"/>
                <w:szCs w:val="28"/>
                <w:lang w:val="en-US" w:eastAsia="zh-CN"/>
              </w:rPr>
            </w:pPr>
            <w:r>
              <w:rPr>
                <w:rFonts w:hint="eastAsia" w:ascii="Times New Roman" w:hAnsi="Times New Roman" w:eastAsia="仿宋" w:cs="Times New Roman"/>
                <w:b/>
                <w:bCs/>
                <w:color w:val="000000"/>
                <w:sz w:val="28"/>
                <w:szCs w:val="28"/>
                <w:lang w:val="en-US" w:eastAsia="zh-CN"/>
              </w:rPr>
              <w:t>量化技术指标</w:t>
            </w:r>
          </w:p>
          <w:p w14:paraId="07634BAA">
            <w:pPr>
              <w:spacing w:after="0" w:line="240" w:lineRule="auto"/>
              <w:ind w:firstLine="560" w:firstLineChars="200"/>
              <w:rPr>
                <w:rFonts w:ascii="Times New Roman" w:hAnsi="Times New Roman" w:eastAsia="仿宋" w:cs="Times New Roman"/>
                <w:color w:val="000000"/>
                <w:sz w:val="28"/>
                <w:szCs w:val="28"/>
                <w:lang w:val="en-US" w:eastAsia="zh-CN"/>
              </w:rPr>
            </w:pPr>
            <w:r>
              <w:rPr>
                <w:rFonts w:hint="eastAsia" w:ascii="Times New Roman" w:hAnsi="Times New Roman" w:eastAsia="仿宋" w:cs="Times New Roman"/>
                <w:color w:val="000000"/>
                <w:sz w:val="28"/>
                <w:szCs w:val="28"/>
                <w:lang w:val="en-US" w:eastAsia="zh-CN"/>
              </w:rPr>
              <w:t>财务数据核查准确率60个，错误覆盖资产负债表、利润表、现金流量表、主要财务指标、总资产、总负债、净资产、营业收入、净利润、扣非净利润、经营活动现金流净额、资产负债率、流动比率、速动比率、毛利率、净利率、ROE、EBITDA等指标，错误类型涵盖有数据错误、单位错误、计算指标错误等。</w:t>
            </w:r>
          </w:p>
          <w:p w14:paraId="075A72D5">
            <w:pPr>
              <w:spacing w:after="0" w:line="240" w:lineRule="auto"/>
              <w:ind w:firstLine="560" w:firstLineChars="200"/>
              <w:rPr>
                <w:rFonts w:ascii="Times New Roman" w:hAnsi="Times New Roman" w:eastAsia="仿宋" w:cs="Times New Roman"/>
                <w:color w:val="000000"/>
                <w:sz w:val="28"/>
                <w:szCs w:val="28"/>
                <w:lang w:val="en-US" w:eastAsia="zh-CN"/>
              </w:rPr>
            </w:pPr>
            <w:r>
              <w:rPr>
                <w:rFonts w:hint="eastAsia" w:ascii="Times New Roman" w:hAnsi="Times New Roman" w:eastAsia="仿宋" w:cs="Times New Roman"/>
                <w:color w:val="000000"/>
                <w:sz w:val="28"/>
                <w:szCs w:val="28"/>
                <w:lang w:val="en-US" w:eastAsia="zh-CN"/>
              </w:rPr>
              <w:t>重大事项一致性20个，涵盖发债主体的对外担保、重大诉讼、仲裁、行政处罚、监管措施、关联交易、资金占用、受限资产、抵质押、重大承诺、失信信息等问题。</w:t>
            </w:r>
          </w:p>
          <w:p w14:paraId="33F40017">
            <w:pPr>
              <w:spacing w:after="0" w:line="240" w:lineRule="auto"/>
              <w:ind w:firstLine="560" w:firstLineChars="200"/>
              <w:rPr>
                <w:rFonts w:ascii="Times New Roman" w:hAnsi="Times New Roman" w:eastAsia="仿宋" w:cs="Times New Roman"/>
                <w:color w:val="000000"/>
                <w:sz w:val="28"/>
                <w:szCs w:val="28"/>
                <w:lang w:val="en-US" w:eastAsia="zh-CN"/>
              </w:rPr>
            </w:pPr>
            <w:r>
              <w:rPr>
                <w:rFonts w:hint="eastAsia" w:ascii="Times New Roman" w:hAnsi="Times New Roman" w:eastAsia="仿宋" w:cs="Times New Roman"/>
                <w:color w:val="000000"/>
                <w:sz w:val="28"/>
                <w:szCs w:val="28"/>
                <w:lang w:val="en-US" w:eastAsia="zh-CN"/>
              </w:rPr>
              <w:t>文字信息一致性10个，涵盖公司名称、法人、注册资本、经营范围、历史沿革、股权结构、行业分类、业务描述、评级信息、董监高信息等。</w:t>
            </w:r>
          </w:p>
          <w:p w14:paraId="32B43A5D">
            <w:pPr>
              <w:spacing w:after="0" w:line="240" w:lineRule="auto"/>
              <w:ind w:firstLine="560" w:firstLineChars="200"/>
              <w:rPr>
                <w:rFonts w:ascii="Times New Roman" w:hAnsi="Times New Roman" w:eastAsia="仿宋" w:cs="Times New Roman"/>
                <w:color w:val="000000"/>
                <w:sz w:val="28"/>
                <w:szCs w:val="28"/>
                <w:lang w:val="en-US" w:eastAsia="zh-CN"/>
              </w:rPr>
            </w:pPr>
            <w:r>
              <w:rPr>
                <w:rFonts w:hint="eastAsia" w:ascii="Times New Roman" w:hAnsi="Times New Roman" w:eastAsia="仿宋" w:cs="Times New Roman"/>
                <w:color w:val="000000"/>
                <w:sz w:val="28"/>
                <w:szCs w:val="28"/>
                <w:lang w:val="en-US" w:eastAsia="zh-CN"/>
              </w:rPr>
              <w:t>行文错误检测10个，覆盖行文错误和常见语病。</w:t>
            </w:r>
          </w:p>
          <w:p w14:paraId="472FCA9E">
            <w:pPr>
              <w:spacing w:after="0" w:line="240" w:lineRule="auto"/>
              <w:ind w:firstLine="562" w:firstLineChars="200"/>
              <w:rPr>
                <w:rFonts w:ascii="Times New Roman" w:hAnsi="Times New Roman" w:eastAsia="仿宋" w:cs="Times New Roman"/>
                <w:b/>
                <w:bCs/>
                <w:color w:val="000000"/>
                <w:sz w:val="28"/>
                <w:szCs w:val="28"/>
                <w:lang w:val="en-US" w:eastAsia="zh-CN"/>
              </w:rPr>
            </w:pPr>
            <w:r>
              <w:rPr>
                <w:rFonts w:hint="eastAsia" w:ascii="Times New Roman" w:hAnsi="Times New Roman" w:eastAsia="仿宋" w:cs="Times New Roman"/>
                <w:b/>
                <w:bCs/>
                <w:color w:val="000000"/>
                <w:sz w:val="28"/>
                <w:szCs w:val="28"/>
                <w:lang w:val="en-US" w:eastAsia="zh-CN"/>
              </w:rPr>
              <w:t>成果交付形式</w:t>
            </w:r>
          </w:p>
          <w:p w14:paraId="37F5D7BF">
            <w:pPr>
              <w:spacing w:after="0" w:line="240" w:lineRule="auto"/>
              <w:ind w:firstLine="560" w:firstLineChars="200"/>
              <w:jc w:val="both"/>
              <w:rPr>
                <w:rFonts w:hint="eastAsia" w:ascii="Times New Roman" w:hAnsi="Times New Roman" w:eastAsia="仿宋" w:cs="Times New Roman"/>
                <w:color w:val="000000"/>
                <w:sz w:val="28"/>
                <w:szCs w:val="28"/>
                <w:lang w:val="en-US" w:eastAsia="zh-CN"/>
              </w:rPr>
            </w:pPr>
            <w:r>
              <w:rPr>
                <w:rFonts w:hint="eastAsia" w:ascii="Times New Roman" w:hAnsi="Times New Roman" w:eastAsia="仿宋" w:cs="Times New Roman"/>
                <w:color w:val="000000"/>
                <w:sz w:val="28"/>
                <w:szCs w:val="28"/>
                <w:lang w:val="en-US" w:eastAsia="zh-CN"/>
              </w:rPr>
              <w:t>技术成果：提交可直接运行、可复现、可验证的债权融资文本跨文档智能核查系统一套，包含完整的模型文件、算法代码、配置文件、依赖环境清单及部署说明，确保能够在标准软硬件环境下完成模型加载、数据输入、自动核查、结果输出与错误定位全流程。系统需实现财务数据核查、重大事项一致性核查、主体信息一致性核查、行文错误检测四项核心功能，输出标准化、结构化的核查结果。（依托大模型能力的方式，需采用开源大模型标准接口，保证核查方案的流程清晰，具备独立部署的条件，禁止使用云端龙虾等智能体工具直接生成。）</w:t>
            </w:r>
          </w:p>
          <w:p w14:paraId="7A767FF7">
            <w:pPr>
              <w:spacing w:after="0" w:line="240" w:lineRule="auto"/>
              <w:ind w:firstLine="560" w:firstLineChars="200"/>
              <w:jc w:val="both"/>
              <w:rPr>
                <w:rFonts w:hint="eastAsia" w:ascii="Times New Roman" w:hAnsi="Times New Roman" w:eastAsia="仿宋" w:cs="Times New Roman"/>
                <w:color w:val="000000"/>
                <w:sz w:val="28"/>
                <w:szCs w:val="28"/>
                <w:lang w:val="en-US" w:eastAsia="zh-CN"/>
              </w:rPr>
            </w:pPr>
            <w:r>
              <w:rPr>
                <w:rFonts w:hint="eastAsia" w:ascii="Times New Roman" w:hAnsi="Times New Roman" w:eastAsia="仿宋" w:cs="Times New Roman"/>
                <w:color w:val="000000"/>
                <w:sz w:val="28"/>
                <w:szCs w:val="28"/>
                <w:lang w:val="en-US" w:eastAsia="zh-CN"/>
              </w:rPr>
              <w:t>业务成果：后续数据集会包含验证材料，通过文档智能核查系统对验证材料进行核查，形成完整核查报告一份，报告需清晰列示错误条目、错误位置、错误类型。</w:t>
            </w:r>
          </w:p>
        </w:tc>
      </w:tr>
      <w:tr w14:paraId="729B0A1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0" w:hRule="atLeast"/>
          <w:jc w:val="center"/>
        </w:trPr>
        <w:tc>
          <w:tcPr>
            <w:tcW w:w="10063" w:type="dxa"/>
            <w:gridSpan w:val="5"/>
            <w:tcBorders>
              <w:top w:val="single" w:color="000000" w:sz="4" w:space="0"/>
              <w:left w:val="single" w:color="000000" w:sz="4" w:space="0"/>
              <w:bottom w:val="single" w:color="000000" w:sz="4" w:space="0"/>
              <w:right w:val="single" w:color="000000" w:sz="4" w:space="0"/>
            </w:tcBorders>
            <w:noWrap/>
            <w:vAlign w:val="center"/>
          </w:tcPr>
          <w:p w14:paraId="78AB17CE">
            <w:pPr>
              <w:spacing w:after="0" w:line="240" w:lineRule="auto"/>
              <w:rPr>
                <w:rFonts w:ascii="Times New Roman" w:hAnsi="Times New Roman" w:eastAsia="仿宋" w:cs="Times New Roman"/>
                <w:color w:val="000000"/>
                <w:sz w:val="28"/>
                <w:szCs w:val="28"/>
                <w:lang w:eastAsia="zh-CN"/>
              </w:rPr>
            </w:pPr>
            <w:r>
              <w:rPr>
                <w:rFonts w:ascii="Times New Roman" w:hAnsi="Times New Roman" w:eastAsia="黑体" w:cs="Times New Roman"/>
                <w:b/>
                <w:bCs/>
                <w:color w:val="000000"/>
                <w:sz w:val="28"/>
                <w:szCs w:val="28"/>
                <w:lang w:eastAsia="zh-CN"/>
              </w:rPr>
              <w:t>数据集描述</w:t>
            </w:r>
            <w:r>
              <w:rPr>
                <w:rFonts w:ascii="Times New Roman" w:hAnsi="Times New Roman" w:eastAsia="仿宋" w:cs="Times New Roman"/>
                <w:color w:val="000000"/>
                <w:sz w:val="28"/>
                <w:szCs w:val="28"/>
                <w:lang w:eastAsia="zh-CN"/>
              </w:rPr>
              <w:t>（</w:t>
            </w:r>
            <w:r>
              <w:rPr>
                <w:rFonts w:hint="eastAsia" w:ascii="Times New Roman" w:hAnsi="Times New Roman" w:eastAsia="仿宋" w:cs="Times New Roman"/>
                <w:color w:val="000000"/>
                <w:sz w:val="28"/>
                <w:szCs w:val="28"/>
                <w:lang w:eastAsia="zh-CN"/>
              </w:rPr>
              <w:t>赛题配套数据集的核心信息，清晰说明数据相关属性及配套要求</w:t>
            </w:r>
            <w:r>
              <w:rPr>
                <w:rFonts w:ascii="Times New Roman" w:hAnsi="Times New Roman" w:eastAsia="仿宋" w:cs="Times New Roman"/>
                <w:color w:val="000000"/>
                <w:sz w:val="28"/>
                <w:szCs w:val="28"/>
                <w:lang w:eastAsia="zh-CN"/>
              </w:rPr>
              <w:t>）</w:t>
            </w:r>
          </w:p>
          <w:p w14:paraId="34B32005">
            <w:pPr>
              <w:spacing w:after="0" w:line="240" w:lineRule="auto"/>
              <w:ind w:firstLine="560" w:firstLineChars="200"/>
              <w:rPr>
                <w:rFonts w:ascii="Times New Roman" w:hAnsi="Times New Roman" w:eastAsia="仿宋" w:cs="Times New Roman"/>
                <w:color w:val="000000"/>
                <w:sz w:val="28"/>
                <w:szCs w:val="28"/>
                <w:lang w:val="en-US" w:eastAsia="zh-CN"/>
              </w:rPr>
            </w:pPr>
            <w:r>
              <w:rPr>
                <w:rFonts w:hint="eastAsia" w:ascii="Times New Roman" w:hAnsi="Times New Roman" w:eastAsia="仿宋" w:cs="Times New Roman"/>
                <w:color w:val="000000"/>
                <w:sz w:val="28"/>
                <w:szCs w:val="28"/>
                <w:lang w:val="en-US" w:eastAsia="zh-CN"/>
              </w:rPr>
              <w:t>本次赛题数据集为真实债权融资业务脱敏数据，包含10份债券募集说明书及配套申请文件为核心样本债券项目的脱敏数据。</w:t>
            </w:r>
          </w:p>
          <w:p w14:paraId="56E021C1">
            <w:pPr>
              <w:spacing w:after="0" w:line="240" w:lineRule="auto"/>
              <w:ind w:firstLine="560" w:firstLineChars="200"/>
              <w:rPr>
                <w:rFonts w:ascii="Times New Roman" w:hAnsi="Times New Roman" w:eastAsia="仿宋" w:cs="Times New Roman"/>
                <w:color w:val="000000"/>
                <w:sz w:val="28"/>
                <w:szCs w:val="28"/>
                <w:lang w:val="en-US" w:eastAsia="zh-CN"/>
              </w:rPr>
            </w:pPr>
            <w:r>
              <w:rPr>
                <w:rFonts w:hint="eastAsia" w:ascii="Times New Roman" w:hAnsi="Times New Roman" w:eastAsia="仿宋" w:cs="Times New Roman"/>
                <w:color w:val="000000"/>
                <w:sz w:val="28"/>
                <w:szCs w:val="28"/>
                <w:lang w:val="en-US" w:eastAsia="zh-CN"/>
              </w:rPr>
              <w:t>样本数据集（8份）：</w:t>
            </w:r>
          </w:p>
          <w:p w14:paraId="6F7BBCF5">
            <w:pPr>
              <w:spacing w:after="0" w:line="240" w:lineRule="auto"/>
              <w:ind w:firstLine="560" w:firstLineChars="200"/>
              <w:rPr>
                <w:rFonts w:ascii="Times New Roman" w:hAnsi="Times New Roman" w:eastAsia="仿宋" w:cs="Times New Roman"/>
                <w:color w:val="000000"/>
                <w:sz w:val="28"/>
                <w:szCs w:val="28"/>
                <w:lang w:val="en-US" w:eastAsia="zh-CN"/>
              </w:rPr>
            </w:pPr>
            <w:r>
              <w:rPr>
                <w:rFonts w:hint="eastAsia" w:ascii="Times New Roman" w:hAnsi="Times New Roman" w:eastAsia="仿宋" w:cs="Times New Roman"/>
                <w:color w:val="000000"/>
                <w:sz w:val="28"/>
                <w:szCs w:val="28"/>
                <w:lang w:val="en-US" w:eastAsia="zh-CN"/>
              </w:rPr>
              <w:t>主文档数据集：募集说明书文件1份，格式为PDF，篇幅≥10万字，含发债主体信息、财务数据、重大事项等全章节内容，以及各类标注过的错误信息；</w:t>
            </w:r>
          </w:p>
          <w:p w14:paraId="4B2F59F6">
            <w:pPr>
              <w:spacing w:after="0" w:line="240" w:lineRule="auto"/>
              <w:ind w:firstLine="595"/>
              <w:jc w:val="both"/>
              <w:rPr>
                <w:rFonts w:hint="eastAsia" w:ascii="Times New Roman" w:hAnsi="Times New Roman" w:eastAsia="仿宋" w:cs="Times New Roman"/>
                <w:color w:val="000000"/>
                <w:sz w:val="28"/>
                <w:szCs w:val="28"/>
                <w:lang w:val="en-US" w:eastAsia="zh-CN"/>
              </w:rPr>
            </w:pPr>
            <w:r>
              <w:rPr>
                <w:rFonts w:hint="eastAsia" w:ascii="Times New Roman" w:hAnsi="Times New Roman" w:eastAsia="仿宋" w:cs="Times New Roman"/>
                <w:color w:val="000000"/>
                <w:sz w:val="28"/>
                <w:szCs w:val="28"/>
                <w:lang w:val="en-US" w:eastAsia="zh-CN"/>
              </w:rPr>
              <w:t>申请文件数据集：包含法律、审计等文件，格式为PDF。</w:t>
            </w:r>
          </w:p>
          <w:p w14:paraId="11A58AEE">
            <w:pPr>
              <w:spacing w:after="0" w:line="240" w:lineRule="auto"/>
              <w:ind w:firstLine="595"/>
              <w:jc w:val="both"/>
              <w:rPr>
                <w:rFonts w:hint="eastAsia" w:ascii="Times New Roman" w:hAnsi="Times New Roman" w:eastAsia="仿宋" w:cs="Times New Roman"/>
                <w:color w:val="000000"/>
                <w:sz w:val="28"/>
                <w:szCs w:val="28"/>
                <w:lang w:val="en-US" w:eastAsia="zh-CN"/>
              </w:rPr>
            </w:pPr>
            <w:r>
              <w:rPr>
                <w:rFonts w:hint="eastAsia" w:ascii="Times New Roman" w:hAnsi="Times New Roman" w:eastAsia="仿宋" w:cs="Times New Roman"/>
                <w:color w:val="000000"/>
                <w:sz w:val="28"/>
                <w:szCs w:val="28"/>
                <w:lang w:val="en-US" w:eastAsia="zh-CN"/>
              </w:rPr>
              <w:t>验证数据集（2份）</w:t>
            </w:r>
          </w:p>
          <w:p w14:paraId="41BF517A">
            <w:pPr>
              <w:spacing w:after="0" w:line="240" w:lineRule="auto"/>
              <w:ind w:firstLine="560" w:firstLineChars="200"/>
              <w:rPr>
                <w:rFonts w:ascii="Times New Roman" w:hAnsi="Times New Roman" w:eastAsia="仿宋" w:cs="Times New Roman"/>
                <w:color w:val="000000"/>
                <w:sz w:val="28"/>
                <w:szCs w:val="28"/>
                <w:lang w:val="en-US" w:eastAsia="zh-CN"/>
              </w:rPr>
            </w:pPr>
            <w:r>
              <w:rPr>
                <w:rFonts w:hint="eastAsia" w:ascii="Times New Roman" w:hAnsi="Times New Roman" w:eastAsia="仿宋" w:cs="Times New Roman"/>
                <w:color w:val="000000"/>
                <w:sz w:val="28"/>
                <w:szCs w:val="28"/>
                <w:lang w:val="en-US" w:eastAsia="zh-CN"/>
              </w:rPr>
              <w:t>主文档数据集：募集说明书文件1份，格式为PDF，篇幅≥10万字，含发债主体信息、财务数据、重大事项等全章节内容。其中包含错误内容未经过标注，用于验证模型；</w:t>
            </w:r>
          </w:p>
          <w:p w14:paraId="4071BCBD">
            <w:pPr>
              <w:spacing w:after="0" w:line="240" w:lineRule="auto"/>
              <w:ind w:firstLine="595"/>
              <w:jc w:val="both"/>
              <w:rPr>
                <w:rFonts w:hint="eastAsia" w:ascii="Times New Roman" w:hAnsi="Times New Roman" w:eastAsia="仿宋" w:cs="Times New Roman"/>
                <w:color w:val="000000"/>
                <w:sz w:val="28"/>
                <w:szCs w:val="28"/>
                <w:lang w:val="en-US" w:eastAsia="zh-CN"/>
              </w:rPr>
            </w:pPr>
            <w:r>
              <w:rPr>
                <w:rFonts w:hint="eastAsia" w:ascii="Times New Roman" w:hAnsi="Times New Roman" w:eastAsia="仿宋" w:cs="Times New Roman"/>
                <w:color w:val="000000"/>
                <w:sz w:val="28"/>
                <w:szCs w:val="28"/>
                <w:lang w:val="en-US" w:eastAsia="zh-CN"/>
              </w:rPr>
              <w:t>申请文件数据集：包含法律、审计等文件，格式为PDF。</w:t>
            </w:r>
          </w:p>
          <w:p w14:paraId="42BFF7B7">
            <w:pPr>
              <w:spacing w:after="0" w:line="240" w:lineRule="auto"/>
              <w:ind w:firstLine="595"/>
              <w:jc w:val="both"/>
              <w:rPr>
                <w:rFonts w:hint="eastAsia" w:ascii="Times New Roman" w:hAnsi="Times New Roman" w:eastAsia="仿宋" w:cs="Times New Roman"/>
                <w:color w:val="000000"/>
                <w:sz w:val="28"/>
                <w:szCs w:val="28"/>
                <w:lang w:val="en-US" w:eastAsia="zh-CN"/>
              </w:rPr>
            </w:pPr>
          </w:p>
          <w:p w14:paraId="563A2F39">
            <w:pPr>
              <w:spacing w:after="0" w:line="240" w:lineRule="auto"/>
              <w:ind w:firstLine="595"/>
              <w:jc w:val="both"/>
              <w:rPr>
                <w:rFonts w:hint="default" w:ascii="Times New Roman" w:hAnsi="Times New Roman" w:eastAsia="仿宋" w:cs="Times New Roman"/>
                <w:color w:val="000000"/>
                <w:sz w:val="28"/>
                <w:szCs w:val="28"/>
                <w:lang w:val="en-US" w:eastAsia="zh-CN"/>
              </w:rPr>
            </w:pPr>
          </w:p>
        </w:tc>
      </w:tr>
    </w:tbl>
    <w:p w14:paraId="40DFA28C">
      <w:pPr>
        <w:rPr>
          <w:rFonts w:hint="eastAsia"/>
          <w:lang w:eastAsia="zh-CN"/>
        </w:rPr>
      </w:pPr>
    </w:p>
    <w:sectPr>
      <w:pgSz w:w="11906" w:h="16838"/>
      <w:pgMar w:top="1134" w:right="850" w:bottom="1134" w:left="1701" w:header="709" w:footer="709" w:gutter="0"/>
      <w:cols w:space="708"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4E8E"/>
    <w:rsid w:val="002F4E8E"/>
    <w:rsid w:val="003F0E46"/>
    <w:rsid w:val="004114DB"/>
    <w:rsid w:val="0072712A"/>
    <w:rsid w:val="0079755E"/>
    <w:rsid w:val="00913D29"/>
    <w:rsid w:val="00A271BA"/>
    <w:rsid w:val="00DF64DD"/>
    <w:rsid w:val="00E45B7F"/>
    <w:rsid w:val="00FC0FF6"/>
    <w:rsid w:val="041F679F"/>
    <w:rsid w:val="04CE1F73"/>
    <w:rsid w:val="09137F54"/>
    <w:rsid w:val="0B463C30"/>
    <w:rsid w:val="11C52008"/>
    <w:rsid w:val="12957C2C"/>
    <w:rsid w:val="24822706"/>
    <w:rsid w:val="2B591CE7"/>
    <w:rsid w:val="3246264E"/>
    <w:rsid w:val="3CF747FD"/>
    <w:rsid w:val="4799729B"/>
    <w:rsid w:val="5119769F"/>
    <w:rsid w:val="53DF072C"/>
    <w:rsid w:val="562C39D0"/>
    <w:rsid w:val="57E7077A"/>
    <w:rsid w:val="591E536C"/>
    <w:rsid w:val="664E3B89"/>
    <w:rsid w:val="67206C39"/>
    <w:rsid w:val="698E53CC"/>
    <w:rsid w:val="6D96756F"/>
    <w:rsid w:val="6F6D49E6"/>
    <w:rsid w:val="6FE50A20"/>
    <w:rsid w:val="7716495C"/>
    <w:rsid w:val="7FB0104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zh-CN" w:eastAsia="en-US" w:bidi="ar-SA"/>
    </w:rPr>
  </w:style>
  <w:style w:type="paragraph" w:styleId="2">
    <w:name w:val="heading 3"/>
    <w:basedOn w:val="1"/>
    <w:next w:val="1"/>
    <w:semiHidden/>
    <w:unhideWhenUsed/>
    <w:qFormat/>
    <w:uiPriority w:val="9"/>
    <w:pPr>
      <w:spacing w:beforeAutospacing="1" w:after="0" w:afterAutospacing="1"/>
      <w:outlineLvl w:val="2"/>
    </w:pPr>
    <w:rPr>
      <w:rFonts w:hint="eastAsia" w:ascii="宋体" w:hAnsi="宋体" w:eastAsia="宋体" w:cs="Times New Roman"/>
      <w:b/>
      <w:bCs/>
      <w:sz w:val="27"/>
      <w:szCs w:val="27"/>
      <w:lang w:val="en-US" w:eastAsia="zh-CN"/>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0"/>
    <w:unhideWhenUsed/>
    <w:qFormat/>
    <w:uiPriority w:val="99"/>
    <w:pPr>
      <w:tabs>
        <w:tab w:val="center" w:pos="4153"/>
        <w:tab w:val="right" w:pos="8306"/>
      </w:tabs>
      <w:snapToGrid w:val="0"/>
      <w:spacing w:line="240" w:lineRule="auto"/>
    </w:pPr>
    <w:rPr>
      <w:sz w:val="18"/>
      <w:szCs w:val="18"/>
    </w:rPr>
  </w:style>
  <w:style w:type="paragraph" w:styleId="4">
    <w:name w:val="header"/>
    <w:basedOn w:val="1"/>
    <w:link w:val="9"/>
    <w:unhideWhenUsed/>
    <w:qFormat/>
    <w:uiPriority w:val="99"/>
    <w:pPr>
      <w:tabs>
        <w:tab w:val="center" w:pos="4153"/>
        <w:tab w:val="right" w:pos="8306"/>
      </w:tabs>
      <w:snapToGrid w:val="0"/>
      <w:spacing w:line="240" w:lineRule="auto"/>
      <w:jc w:val="center"/>
    </w:pPr>
    <w:rPr>
      <w:sz w:val="18"/>
      <w:szCs w:val="18"/>
    </w:rPr>
  </w:style>
  <w:style w:type="paragraph" w:styleId="5">
    <w:name w:val="Normal (Web)"/>
    <w:basedOn w:val="1"/>
    <w:semiHidden/>
    <w:unhideWhenUsed/>
    <w:uiPriority w:val="99"/>
    <w:pPr>
      <w:spacing w:before="0" w:beforeAutospacing="1" w:after="0" w:afterAutospacing="1"/>
      <w:ind w:left="0" w:right="0"/>
      <w:jc w:val="left"/>
    </w:pPr>
    <w:rPr>
      <w:kern w:val="0"/>
      <w:sz w:val="24"/>
      <w:lang w:val="en-US" w:eastAsia="zh-CN" w:bidi="ar"/>
    </w:rPr>
  </w:style>
  <w:style w:type="character" w:styleId="8">
    <w:name w:val="Strong"/>
    <w:basedOn w:val="7"/>
    <w:qFormat/>
    <w:uiPriority w:val="22"/>
    <w:rPr>
      <w:b/>
    </w:rPr>
  </w:style>
  <w:style w:type="character" w:customStyle="1" w:styleId="9">
    <w:name w:val="页眉 字符"/>
    <w:basedOn w:val="7"/>
    <w:link w:val="4"/>
    <w:qFormat/>
    <w:uiPriority w:val="99"/>
    <w:rPr>
      <w:rFonts w:asciiTheme="minorHAnsi" w:hAnsiTheme="minorHAnsi" w:eastAsiaTheme="minorEastAsia" w:cstheme="minorBidi"/>
      <w:sz w:val="18"/>
      <w:szCs w:val="18"/>
      <w:lang w:val="zh-CN" w:eastAsia="en-US"/>
    </w:rPr>
  </w:style>
  <w:style w:type="character" w:customStyle="1" w:styleId="10">
    <w:name w:val="页脚 字符"/>
    <w:basedOn w:val="7"/>
    <w:link w:val="3"/>
    <w:qFormat/>
    <w:uiPriority w:val="99"/>
    <w:rPr>
      <w:rFonts w:asciiTheme="minorHAnsi" w:hAnsiTheme="minorHAnsi" w:eastAsiaTheme="minorEastAsia" w:cstheme="minorBidi"/>
      <w:sz w:val="18"/>
      <w:szCs w:val="18"/>
      <w:lang w:val="zh-CN" w:eastAsia="en-US"/>
    </w:rPr>
  </w:style>
  <w:style w:type="paragraph" w:customStyle="1" w:styleId="11">
    <w:name w:val="Revision"/>
    <w:hidden/>
    <w:unhideWhenUsed/>
    <w:qFormat/>
    <w:uiPriority w:val="99"/>
    <w:rPr>
      <w:rFonts w:asciiTheme="minorHAnsi" w:hAnsiTheme="minorHAnsi" w:eastAsiaTheme="minorEastAsia" w:cstheme="minorBidi"/>
      <w:sz w:val="22"/>
      <w:szCs w:val="22"/>
      <w:lang w:val="zh-CN" w:eastAsia="en-U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徐小澄</Company>
  <Pages>4</Pages>
  <Words>2820</Words>
  <Characters>2865</Characters>
  <Lines>167</Lines>
  <Paragraphs>170</Paragraphs>
  <TotalTime>3</TotalTime>
  <ScaleCrop>false</ScaleCrop>
  <LinksUpToDate>false</LinksUpToDate>
  <CharactersWithSpaces>2867</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2026-04-24T07:08:00Z</dcterms:created>
  <dc:creator>李昊骅 南京大学</dc:creator>
  <cp:lastModifiedBy>葛橹漠</cp:lastModifiedBy>
  <dcterms:modified xsi:type="dcterms:W3CDTF">2026-05-14T08:09:27Z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eyJoZGlkIjoiYjZiYThlMzMzYTkwZmY0NWViMTM1OWNmNjhkNTY4MGYiLCJ1c2VySWQiOiIxNTY3NTY3MzQ2In0=</vt:lpwstr>
  </property>
  <property fmtid="{D5CDD505-2E9C-101B-9397-08002B2CF9AE}" pid="3" name="KSOProductBuildVer">
    <vt:lpwstr>2052-12.1.0.24657</vt:lpwstr>
  </property>
  <property fmtid="{D5CDD505-2E9C-101B-9397-08002B2CF9AE}" pid="4" name="ICV">
    <vt:lpwstr>2B0ADF71AA614CC080EB046782611B58_13</vt:lpwstr>
  </property>
</Properties>
</file>