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eastAsia="黑体" w:cs="Times New Roman"/>
          <w:b/>
          <w:bCs/>
          <w:sz w:val="44"/>
          <w:szCs w:val="42"/>
          <w:lang w:eastAsia="zh-CN"/>
        </w:rPr>
      </w:pPr>
    </w:p>
    <w:p>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3"/>
        <w:tblW w:w="1006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宁证期货有限责任公司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lang w:val="en-US" w:eastAsia="zh-CN"/>
              </w:rPr>
              <w:t>江苏省</w:t>
            </w:r>
            <w:r>
              <w:rPr>
                <w:rFonts w:hint="eastAsia" w:ascii="Times New Roman" w:hAnsi="Times New Roman" w:eastAsia="仿宋" w:cs="Times New Roman"/>
                <w:color w:val="000000"/>
                <w:sz w:val="28"/>
                <w:szCs w:val="28"/>
              </w:rPr>
              <w:t>南京市建邺区白龙江东街9号2幢二单元1901室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 xml:space="preserve">宁证期货有限责任公司是经中国证券监督管理委员会批准成立的专业期货公司。    </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公司是上海期货交易所、大连商品交易所、郑州商品交易所、中国金融期货交易所、上海国际能源交易中心和广州期货交易所会员单位。经营范围包括：商品期货经纪、金融期货经纪、期货投资咨询和资产管理。</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自2008年落户江苏辖区以来，公司坚持立足江苏、服务实体经济的市场定位，牢牢把握“稳中求进”工作总基调，在精耕传统经纪业务的基础上主动谋求创新发展，不断增强专业服务能力，积极拓展市场空间，着力提升经营管理效率，坚决防范各类风险。</w:t>
            </w:r>
          </w:p>
          <w:p>
            <w:pPr>
              <w:spacing w:after="0" w:line="240" w:lineRule="auto"/>
              <w:rPr>
                <w:rFonts w:hint="eastAsia" w:ascii="Times New Roman" w:hAnsi="Times New Roman" w:eastAsia="仿宋" w:cs="Times New Roman"/>
                <w:color w:val="000000"/>
                <w:sz w:val="28"/>
                <w:szCs w:val="28"/>
                <w:lang w:eastAsia="zh-CN"/>
              </w:rPr>
            </w:pPr>
          </w:p>
          <w:p>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以人为本、以心为桥、以诚为基、以德兴业”是宁证期货的经营宗旨。“专业理财、专心服务”是宁证期货的服务理念。宁证期货将坚定不移走好中国特色金融发展之路，持续强化风险防控能力，服务实体经济高质量发展，为建设金融强国、实现中国式现代化贡献“期货力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王裕豪</w:t>
            </w:r>
          </w:p>
        </w:tc>
        <w:tc>
          <w:tcPr>
            <w:tcW w:w="134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业务主管</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19537776239</w:t>
            </w:r>
          </w:p>
        </w:tc>
        <w:tc>
          <w:tcPr>
            <w:tcW w:w="134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wangyuhao@nzfco.com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val="en-US" w:eastAsia="zh-CN"/>
              </w:rPr>
              <w:t>基于期权波动率曲面与智能体的量化风控预警系统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如何在期权波动率曲面（含隐含波动率及Greeks）的高维数据环境下，融合知识图谱与深度强化学习（DRL）等多智能体技术，构建一套</w:t>
            </w:r>
            <w:r>
              <w:rPr>
                <w:rFonts w:hint="eastAsia" w:ascii="Times New Roman" w:hAnsi="Times New Roman" w:eastAsia="仿宋" w:cs="Times New Roman"/>
                <w:color w:val="000000"/>
                <w:sz w:val="28"/>
                <w:szCs w:val="28"/>
                <w:lang w:val="en-US" w:eastAsia="zh-CN"/>
              </w:rPr>
              <w:t>及</w:t>
            </w:r>
            <w:r>
              <w:rPr>
                <w:rFonts w:hint="eastAsia" w:ascii="Times New Roman" w:hAnsi="Times New Roman" w:eastAsia="仿宋" w:cs="Times New Roman"/>
                <w:color w:val="000000"/>
                <w:sz w:val="28"/>
                <w:szCs w:val="28"/>
                <w:lang w:eastAsia="zh-CN"/>
              </w:rPr>
              <w:t>时、可解释的量化风控预警系统，实现曲面异常自动检测、风险传导路径推理与分级预警？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黑体" w:cs="Times New Roman"/>
                <w:b/>
                <w:bCs/>
                <w:color w:val="000000"/>
                <w:sz w:val="28"/>
                <w:szCs w:val="28"/>
                <w:lang w:eastAsia="zh-CN"/>
              </w:rPr>
            </w:pPr>
            <w:r>
              <w:rPr>
                <w:rFonts w:ascii="Times New Roman" w:hAnsi="Times New Roman" w:eastAsia="黑体" w:cs="Times New Roman"/>
                <w:b/>
                <w:bCs/>
                <w:color w:val="000000"/>
                <w:sz w:val="28"/>
                <w:szCs w:val="28"/>
                <w:lang w:eastAsia="zh-CN"/>
              </w:rPr>
              <w:t>业务场景描述</w:t>
            </w:r>
          </w:p>
          <w:p>
            <w:pPr>
              <w:spacing w:after="0" w:line="240" w:lineRule="auto"/>
              <w:rPr>
                <w:rFonts w:ascii="Times New Roman" w:hAnsi="Times New Roman" w:eastAsia="黑体" w:cs="Times New Roman"/>
                <w:b/>
                <w:bCs/>
                <w:color w:val="000000"/>
                <w:sz w:val="28"/>
                <w:szCs w:val="28"/>
                <w:lang w:eastAsia="zh-CN"/>
              </w:rPr>
            </w:pPr>
          </w:p>
          <w:p>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近年来，全球宏观不确定性显著上升，地缘政治冲突、货币政策转向、极端气候等因素交替冲击大宗商品市场。2026年初，国际大宗商品市场经历了历史罕见的剧烈波动，白银、原油等核心品种屡次出现极端行情，期货公司及资管机构的风险控制能力面临前所未有的挑战，市场对投研工具的实时性与智能化水平提出了更高要求。</w:t>
            </w:r>
          </w:p>
          <w:p>
            <w:pPr>
              <w:spacing w:after="0" w:line="240" w:lineRule="auto"/>
              <w:ind w:firstLine="560" w:firstLineChars="200"/>
              <w:jc w:val="both"/>
              <w:rPr>
                <w:rFonts w:hint="eastAsia" w:ascii="Times New Roman" w:hAnsi="Times New Roman" w:eastAsia="仿宋" w:cs="Times New Roman"/>
                <w:color w:val="000000"/>
                <w:sz w:val="28"/>
                <w:szCs w:val="28"/>
                <w:lang w:eastAsia="zh-CN"/>
              </w:rPr>
            </w:pP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在期权交易与做市业务中，隐含波动率曲面（IV Surface）及Greeks（Delta、Gamma、Vega、Theta）是风险管理的核心依据。曲面是否平滑、是否存在无套利违背、Greeks是否出现极端集中，直接关系到做市商或自营团队的风险暴露。然而，当前风险管理依赖人工盯盘或固定阈值告警，存在以下瓶颈：</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1. 曲面高维特性导致风险发现滞后</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波动率曲面包含期限、行权价两个维度，加上动态变化的Greeks，数据量庞大且形态复杂。2026年初国际大宗商品市场剧烈波动（如原油单日振幅超40%），曲面形态在分钟级内急剧扭曲，人工几乎无法实时监控曲面畸变（如违反凸性、期限倒挂、偏斜突变等），往往在损失发生后才能追溯原因。</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2. 风险传导路径不清晰，预警缺乏可解释性</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单一Greeks异常可能引发连锁反应（如近月平值Gamma过度集中迫使做市商反向对冲，进而加剧标的市场波动）。现有系统只能提示“指标超限”，无法解释风险从何而来、会向何处传导，导致风控决策效率低下。</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3. 预警策略静态僵化，无法适应市场状态变化</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固定阈值在低波动市况下频繁误报，在高波动市况下又可能漏报。急需一套能够动态学习最优预警时点与预警等级的智能系统。</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2" w:firstLineChars="200"/>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4. 严重依赖资深交易员经验，人才稀缺</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对曲面形态的风险判断高度依赖经验，新晋员工培养周期长，业务可扩展性受限。</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因此，亟需构建一套基于波动率曲面数据与多智能体技术的量化风控预警系统，实现曲面风险的自动识别、传导路径推理与分级预警，提升期货公司期权业务的风险管理效率与智能化水平。该系统仅输出预警提示，不涉及任何交易指令。</w:t>
            </w:r>
          </w:p>
          <w:p>
            <w:pPr>
              <w:spacing w:after="0" w:line="240" w:lineRule="auto"/>
              <w:ind w:firstLine="560" w:firstLineChars="200"/>
              <w:jc w:val="both"/>
              <w:rPr>
                <w:rFonts w:hint="eastAsia" w:ascii="Times New Roman" w:hAnsi="Times New Roman" w:eastAsia="仿宋" w:cs="Times New Roman"/>
                <w:b w:val="0"/>
                <w:bCs w:val="0"/>
                <w:color w:val="000000"/>
                <w:sz w:val="28"/>
                <w:szCs w:val="28"/>
                <w:lang w:eastAsia="zh-CN"/>
              </w:rPr>
            </w:pPr>
          </w:p>
          <w:p>
            <w:pPr>
              <w:spacing w:after="0" w:line="240" w:lineRule="auto"/>
              <w:ind w:firstLine="560" w:firstLineChars="200"/>
              <w:jc w:val="both"/>
              <w:rPr>
                <w:rFonts w:ascii="Times New Roman" w:hAnsi="Times New Roman" w:eastAsia="仿宋" w:cs="Times New Roman"/>
                <w:color w:val="000000"/>
                <w:sz w:val="28"/>
                <w:szCs w:val="28"/>
                <w:lang w:eastAsia="zh-CN"/>
              </w:rPr>
            </w:pPr>
          </w:p>
          <w:p>
            <w:pPr>
              <w:spacing w:after="0" w:line="240" w:lineRule="auto"/>
              <w:ind w:firstLine="560" w:firstLineChars="200"/>
              <w:jc w:val="both"/>
              <w:rPr>
                <w:rFonts w:ascii="Times New Roman" w:hAnsi="Times New Roman" w:eastAsia="仿宋" w:cs="Times New Roman"/>
                <w:color w:val="000000"/>
                <w:sz w:val="28"/>
                <w:szCs w:val="28"/>
                <w:lang w:eastAsia="zh-CN"/>
              </w:rPr>
            </w:pPr>
          </w:p>
          <w:p>
            <w:pPr>
              <w:spacing w:after="0" w:line="240" w:lineRule="auto"/>
              <w:ind w:firstLine="560" w:firstLineChars="200"/>
              <w:jc w:val="both"/>
              <w:rPr>
                <w:rFonts w:ascii="Times New Roman" w:hAnsi="Times New Roman" w:eastAsia="仿宋" w:cs="Times New Roman"/>
                <w:color w:val="000000"/>
                <w:sz w:val="28"/>
                <w:szCs w:val="28"/>
                <w:lang w:eastAsia="zh-CN"/>
              </w:rPr>
            </w:pPr>
          </w:p>
          <w:p>
            <w:pPr>
              <w:spacing w:after="0" w:line="240" w:lineRule="auto"/>
              <w:ind w:firstLine="560" w:firstLineChars="200"/>
              <w:jc w:val="both"/>
              <w:rPr>
                <w:rFonts w:ascii="Times New Roman" w:hAnsi="Times New Roman" w:eastAsia="仿宋" w:cs="Times New Roman"/>
                <w:color w:val="000000"/>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p>
          <w:p>
            <w:pPr>
              <w:spacing w:after="0" w:line="240" w:lineRule="auto"/>
              <w:ind w:firstLine="595"/>
              <w:jc w:val="both"/>
              <w:rPr>
                <w:rFonts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参赛团队可根据自身技术专长，从以下三个问题中选择攻关方向。问题1为必选（完成基础预警功能）；问题2与问题3为进阶加分项，鼓励有余力的团队完成。</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问题1（必选）：高维曲面数据的实时风险特征提取与分级预警</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如何从波动率曲面（期限×行权价矩阵）及Greeks序列中，自动提取有业务含义的风险特征（如曲面违反凸性程度、局部异常凸起、偏度突发偏斜、Gamma/Vega截面集中度等），并基于这些特征实现动态分级预警（无预警/关注/警告/危险）？</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技术难点：曲面是高维时序数据，传统人工构造指标难以覆盖复杂形态；预警阈值需适应波动率环境变化，固定规则在实盘中的误报/漏报率较高。</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问题2（进阶）：基于知识图谱的风险传导路径推理与可解释性</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如何构建一个面向期权风险的知识图谱，将曲面特征之间、特征与标的资产、特征与风险因子之间的统计与套利约束关系（如Put-Call平价、凸性条件、Vega与Gamma相关性）进行建模，并在曲面出现异常时自动推理出潜在影响范围与传导路径，生成自然语言解释？</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技术难点：风险关系并非静态，需支持动态更新；图谱推理结果需与实时曲面联动，且要具备可回溯的证据链。</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问题3（进阶）：基于深度强化学习（DRL）的自适应预警策略优化</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如何设计一个DRL智能体，将曲面风险特征作为状态，预警等级作为动作，以历史预警正确/虚假/漏报的累积奖励为优化目标，动态调整预警阈值和等级，从而比固定规则获得更高的预警时效性和准确率？</w:t>
            </w: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技术难点：金融数据信噪比低，奖励稀疏；需定义合理的奖励函数（如正确预警正奖励、虚假/漏报负奖励），并确保DRL策略在回测中稳定收敛。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b/>
                <w:bCs/>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任务选择说明：</w:t>
            </w:r>
            <w:r>
              <w:rPr>
                <w:rFonts w:hint="eastAsia" w:ascii="Times New Roman" w:hAnsi="Times New Roman" w:eastAsia="仿宋" w:cs="Times New Roman"/>
                <w:b w:val="0"/>
                <w:bCs w:val="0"/>
                <w:color w:val="000000"/>
                <w:sz w:val="28"/>
                <w:szCs w:val="28"/>
                <w:lang w:eastAsia="zh-CN"/>
              </w:rPr>
              <w:t xml:space="preserve"> 参赛团队必须完成问题1（基础预警功能）。在此基础上，可选择完成问题2（知识图谱推理）和/或问题3（DRL自适应预警）作为进阶加分项。赛题将设置“基础达标线”与“技术创新线”分层评审。</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智能体架构说明：</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本赛题要求参赛团队构建一个期权风控智能体（Agent），其基本工作流程为：</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感知：实时读取波动率曲面及Greeks数据，提取风险特征；</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决策：根据当前风险特征，输出预警等级（0=无预警，1=关注，2=警告，3=危险）；</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行动：将预警等级及解释输出到可视化界面（不涉及交易执行）；</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优化（可选）：通过DRL等方法根据预警结果反馈优化决策策略；</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解释（可选）：通过知识图谱等方法生成预警的原因和风险传导路径。</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基础版本（必选）实现感知+决策（可采用固定规则），构成一个可运行的智能体原型。进阶版本（加分项）在此基础上增强优化能力（DRL）和/或解释能力（知识图谱）。</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针对问题1（必选）：高维曲面实时处理与分级预警模块</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任务内容：</w:t>
            </w:r>
            <w:r>
              <w:rPr>
                <w:rFonts w:hint="eastAsia" w:ascii="Times New Roman" w:hAnsi="Times New Roman" w:eastAsia="仿宋" w:cs="Times New Roman"/>
                <w:b w:val="0"/>
                <w:bCs w:val="0"/>
                <w:color w:val="000000"/>
                <w:sz w:val="28"/>
                <w:szCs w:val="28"/>
                <w:lang w:eastAsia="zh-CN"/>
              </w:rPr>
              <w:t>开发一套曲面数据处理与风险特征工程模块，实现：① 曲面数据清洗、插值、无套利条件校验；② 构建一组可量化的风险指标（如曲面凸性违反程度、偏度分位数、期限结构斜率变化率、Gamma/Vega截面集中度等）；③ 基于规则或轻量级机器学习模型实现四级预警（0-3级），并输出预警等级与触发原因。</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成果形式：</w:t>
            </w:r>
            <w:r>
              <w:rPr>
                <w:rFonts w:hint="eastAsia" w:ascii="Times New Roman" w:hAnsi="Times New Roman" w:eastAsia="仿宋" w:cs="Times New Roman"/>
                <w:b w:val="0"/>
                <w:bCs w:val="0"/>
                <w:color w:val="000000"/>
                <w:sz w:val="28"/>
                <w:szCs w:val="28"/>
                <w:lang w:eastAsia="zh-CN"/>
              </w:rPr>
              <w:t>曲面特征提取算法库（Python）；预警可视化仪表板（曲面热力图、Greeks曲线、预警时间轴）；</w:t>
            </w:r>
            <w:r>
              <w:rPr>
                <w:rFonts w:hint="eastAsia" w:ascii="Times New Roman" w:hAnsi="Times New Roman" w:eastAsia="仿宋" w:cs="Times New Roman"/>
                <w:b w:val="0"/>
                <w:bCs w:val="0"/>
                <w:color w:val="000000"/>
                <w:sz w:val="28"/>
                <w:szCs w:val="28"/>
                <w:lang w:val="en-US" w:eastAsia="zh-CN"/>
              </w:rPr>
              <w:t>如有余力可尝试支持历史数据回放或定时扫描</w:t>
            </w:r>
            <w:r>
              <w:rPr>
                <w:rFonts w:hint="eastAsia" w:ascii="Times New Roman" w:hAnsi="Times New Roman" w:eastAsia="仿宋" w:cs="Times New Roman"/>
                <w:b w:val="0"/>
                <w:bCs w:val="0"/>
                <w:color w:val="000000"/>
                <w:sz w:val="28"/>
                <w:szCs w:val="28"/>
                <w:lang w:eastAsia="zh-CN"/>
              </w:rPr>
              <w:t>。</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针对问题2（进阶加分项）：期权风险知识图谱与传导路径推理</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任务内容：</w:t>
            </w:r>
            <w:r>
              <w:rPr>
                <w:rFonts w:hint="eastAsia" w:ascii="Times New Roman" w:hAnsi="Times New Roman" w:eastAsia="仿宋" w:cs="Times New Roman"/>
                <w:b w:val="0"/>
                <w:bCs w:val="0"/>
                <w:color w:val="000000"/>
                <w:sz w:val="28"/>
                <w:szCs w:val="28"/>
                <w:lang w:eastAsia="zh-CN"/>
              </w:rPr>
              <w:t>构建一个轻量级期权风险知识图谱，节点包括曲面特征（如“近月平值Gamma异常”“波动率微笑变陡”“期限倒挂”）、Greeks、标的资产等，边表示相关性、因果或约束关系。开发图谱查询与推理引擎：当曲面出现异常时，自动检索风险传播路径，生成“根因→中间环节→可能后果”的自然语言解释，并输出证据链。</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成果形式：</w:t>
            </w:r>
            <w:r>
              <w:rPr>
                <w:rFonts w:hint="eastAsia" w:ascii="Times New Roman" w:hAnsi="Times New Roman" w:eastAsia="仿宋" w:cs="Times New Roman"/>
                <w:b w:val="0"/>
                <w:bCs w:val="0"/>
                <w:color w:val="000000"/>
                <w:sz w:val="28"/>
                <w:szCs w:val="28"/>
                <w:lang w:eastAsia="zh-CN"/>
              </w:rPr>
              <w:t>知识图谱Schema文档；图谱构建与查询脚本（可使用NetworkX或Neo4j）；风险传导路径可视化界面。</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针对问题3（进阶加分项）：基于DRL的自适应预警策略模型</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任务内容：</w:t>
            </w:r>
            <w:r>
              <w:rPr>
                <w:rFonts w:hint="eastAsia" w:ascii="Times New Roman" w:hAnsi="Times New Roman" w:eastAsia="仿宋" w:cs="Times New Roman"/>
                <w:b w:val="0"/>
                <w:bCs w:val="0"/>
                <w:color w:val="000000"/>
                <w:sz w:val="28"/>
                <w:szCs w:val="28"/>
                <w:lang w:eastAsia="zh-CN"/>
              </w:rPr>
              <w:t>设计一个深度强化学习智能体，动态决定预警等级。需完成：① 定义状态（实时曲面风险特征向量等）、动作（0-3级）、奖励函数；② 选择合适DRL算法（如DQN、PPO或SAC）进行训练；③ 实现离线回测与固定阈值方法的对比。</w:t>
            </w: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b/>
                <w:bCs/>
                <w:color w:val="000000"/>
                <w:sz w:val="28"/>
                <w:szCs w:val="28"/>
                <w:lang w:eastAsia="zh-CN"/>
              </w:rPr>
              <w:t>成果形式：</w:t>
            </w:r>
            <w:r>
              <w:rPr>
                <w:rFonts w:hint="eastAsia" w:ascii="Times New Roman" w:hAnsi="Times New Roman" w:eastAsia="仿宋" w:cs="Times New Roman"/>
                <w:b w:val="0"/>
                <w:bCs w:val="0"/>
                <w:color w:val="000000"/>
                <w:sz w:val="28"/>
                <w:szCs w:val="28"/>
                <w:lang w:eastAsia="zh-CN"/>
              </w:rPr>
              <w:t>DRL预警模型代码及训练日志；离线回测报告（对比固定阈值在准确率、时效性、误报率上的提升）；模型推理API接口。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我司已围绕本赛题的技术方向开展前期探索，具备一定的业务和数据基础：</w:t>
            </w:r>
          </w:p>
          <w:p>
            <w:pPr>
              <w:spacing w:after="0" w:line="240" w:lineRule="auto"/>
              <w:ind w:firstLine="595"/>
              <w:jc w:val="both"/>
              <w:rPr>
                <w:rFonts w:hint="eastAsia" w:ascii="Times New Roman" w:hAnsi="Times New Roman" w:eastAsia="仿宋" w:cs="Times New Roman"/>
                <w:color w:val="000000"/>
                <w:sz w:val="28"/>
                <w:szCs w:val="28"/>
                <w:lang w:val="en-US" w:eastAsia="zh-CN"/>
              </w:rPr>
            </w:pPr>
          </w:p>
          <w:p>
            <w:pPr>
              <w:spacing w:after="0" w:line="240" w:lineRule="auto"/>
              <w:ind w:firstLine="595"/>
              <w:jc w:val="both"/>
              <w:rPr>
                <w:rFonts w:hint="eastAsia"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1. 期权波动率曲面数据储备</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自建了基于Black-Scholes模型的隐含波动率及希腊字母（Delta、Gamma、Vega、Theta）数据库，覆盖原油、黄金、铜等主流品种的期权合约，时间区间为2023年至2026年，15分钟频数据。无风险利率采用固定参数，未根据期限结构动态调整，且未考虑波动率微笑/偏斜的精确校准，因此数据存在一定估计偏差。</w:t>
            </w:r>
          </w:p>
          <w:p>
            <w:pPr>
              <w:spacing w:after="0" w:line="240" w:lineRule="auto"/>
              <w:ind w:firstLine="595"/>
              <w:jc w:val="both"/>
              <w:rPr>
                <w:rFonts w:hint="eastAsia" w:ascii="Times New Roman" w:hAnsi="Times New Roman" w:eastAsia="仿宋" w:cs="Times New Roman"/>
                <w:color w:val="000000"/>
                <w:sz w:val="28"/>
                <w:szCs w:val="28"/>
                <w:lang w:val="en-US" w:eastAsia="zh-CN"/>
              </w:rPr>
            </w:pPr>
          </w:p>
          <w:p>
            <w:pPr>
              <w:spacing w:after="0" w:line="240" w:lineRule="auto"/>
              <w:ind w:firstLine="595"/>
              <w:jc w:val="both"/>
              <w:rPr>
                <w:rFonts w:hint="eastAsia"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2. 极端行情事件标注</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已人工标注典型极端行情时间表格一份（18个事件，如2026年1月白银、2026年3月原油、2023年10月巴以冲突等），可用于回测验证。</w:t>
            </w:r>
          </w:p>
          <w:p>
            <w:pPr>
              <w:spacing w:after="0" w:line="240" w:lineRule="auto"/>
              <w:ind w:firstLine="595"/>
              <w:jc w:val="both"/>
              <w:rPr>
                <w:rFonts w:hint="eastAsia" w:ascii="Times New Roman" w:hAnsi="Times New Roman" w:eastAsia="仿宋" w:cs="Times New Roman"/>
                <w:color w:val="000000"/>
                <w:sz w:val="28"/>
                <w:szCs w:val="28"/>
                <w:lang w:val="en-US" w:eastAsia="zh-CN"/>
              </w:rPr>
            </w:pPr>
          </w:p>
          <w:p>
            <w:pPr>
              <w:spacing w:after="0" w:line="240" w:lineRule="auto"/>
              <w:ind w:firstLine="595"/>
              <w:jc w:val="both"/>
              <w:rPr>
                <w:rFonts w:hint="eastAsia"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3. 技术储备与不足</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已建立基础的曲面可视化看板和基于固定阈值的指标监控实验，但误报率高、无法适应波动率变化。</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对知识图谱技术处于调研阶段，尚未构建完整的期权风险图谱。</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对深度强化学习已有初步技术验证（在模拟环境中测试过简单的阈值优化任务），但尚未应用于实际曲面数据。</w:t>
            </w:r>
          </w:p>
          <w:p>
            <w:pPr>
              <w:spacing w:after="0" w:line="240" w:lineRule="auto"/>
              <w:ind w:firstLine="595"/>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 尚未实现从曲面特征到自然语言预警解释的自动化生成。</w:t>
            </w:r>
          </w:p>
          <w:p>
            <w:pPr>
              <w:spacing w:after="0" w:line="240" w:lineRule="auto"/>
              <w:ind w:firstLine="595"/>
              <w:jc w:val="both"/>
              <w:rPr>
                <w:rFonts w:hint="eastAsia" w:ascii="Times New Roman" w:hAnsi="Times New Roman" w:eastAsia="仿宋" w:cs="Times New Roman"/>
                <w:color w:val="000000"/>
                <w:sz w:val="28"/>
                <w:szCs w:val="28"/>
                <w:lang w:val="en-US" w:eastAsia="zh-CN"/>
              </w:rPr>
            </w:pP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综上，命题单位在数据积累和业务理解上具备基础，但在自动化曲面异常检测、风险传导推理、自适应预警策略等方面存在明显不足，亟待参赛团队创新突破。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 xml:space="preserve">总体目标： </w:t>
            </w:r>
            <w:r>
              <w:rPr>
                <w:rFonts w:hint="eastAsia" w:ascii="Times New Roman" w:hAnsi="Times New Roman" w:eastAsia="仿宋" w:cs="Times New Roman"/>
                <w:b w:val="0"/>
                <w:bCs w:val="0"/>
                <w:color w:val="000000"/>
                <w:sz w:val="28"/>
                <w:szCs w:val="28"/>
                <w:lang w:eastAsia="zh-CN"/>
              </w:rPr>
              <w:t>构建一个风控智能体（Agent），能够读取波动率曲面及Greeks数据，提取风险特征，动态输出分级预警（0-3级），并可选地具备自适应优化能力和可解释推理能力。系统仅输出预警提示，不涉及任何交易指令。</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量化技术指标：</w:t>
            </w:r>
          </w:p>
          <w:p>
            <w:pPr>
              <w:spacing w:after="0" w:line="240" w:lineRule="auto"/>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1. 预警准确性与时效性（主指标）</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定义“曲面显著恶化事件”：当未来5个时间点（75分钟）内，隐含波动率曲面整体水平（如ATM IV）或曲面凸性违反程度超过历史滚动窗口（如过去20个交易日）的95%分位数时，定义当前时刻之后的2小时内为“风险区间”。</w:t>
            </w:r>
          </w:p>
          <w:p>
            <w:pPr>
              <w:spacing w:after="0" w:line="240" w:lineRule="auto"/>
              <w:ind w:firstLine="595"/>
              <w:jc w:val="both"/>
              <w:rPr>
                <w:rFonts w:hint="default"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b w:val="0"/>
                <w:bCs w:val="0"/>
                <w:color w:val="000000"/>
                <w:sz w:val="28"/>
                <w:szCs w:val="28"/>
                <w:lang w:val="en-US" w:eastAsia="zh-CN"/>
              </w:rPr>
              <w:t>注：允许参赛团队自行定义“曲面显著恶化事件”的阈值（如95%分位数、5个时间点），但需在报告中阐述合理性。</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精确率：系统发出的预警中，预警后2小时内确实存在风险区间的比例 ≥ 50%。</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召回率：所有风险区间中，被系统提前预警（预警时间早于风险区间起始时刻）的比例 ≥ 60%。</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平均预警提前时间：从预警发出到风险区间起始时刻的时间差，要求 ≥ 30分钟（对应2个15分钟K线）。</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bCs/>
                <w:color w:val="000000"/>
                <w:sz w:val="28"/>
                <w:szCs w:val="28"/>
                <w:lang w:eastAsia="zh-CN"/>
              </w:rPr>
              <w:t>2. 风险价值改善（核心业务指标）</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测试组合：分别测试期货多头和期货空头两种初始持仓（各1手）。</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风控规则：当系统发出预警（等级 ≥ 2）时，在预警时间点的下一个交易日开盘，将当前持仓减半（多头平掉一半，空头回补一半）。减仓后持有至测试期结束，不再恢复（简化）。若多次预警，仅在首次预警时减仓，避免过度交易。</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无预警策略：始终保持原头寸不变。</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评价指标：</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计算整个测试期（不少于3个月的连续数据）内，预警策略与无预警策略的日收益率序列的CVaR（95%）。</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分别得到多头改善率和空头改善率，取算术平均作为最终改善率：</w:t>
            </w:r>
          </w:p>
          <w:p>
            <w:pPr>
              <w:spacing w:after="0" w:line="240" w:lineRule="auto"/>
              <w:ind w:firstLine="595"/>
              <w:jc w:val="both"/>
              <w:rPr>
                <w:rFonts w:hint="default" w:ascii="Times New Roman" w:hAnsi="Times New Roman" w:eastAsia="仿宋" w:cs="Times New Roman"/>
                <w:b w:val="0"/>
                <w:bCs w:val="0"/>
                <w:color w:val="000000"/>
                <w:sz w:val="28"/>
                <w:szCs w:val="28"/>
                <w:lang w:val="en-US" w:eastAsia="zh-CN"/>
              </w:rPr>
            </w:pPr>
            <w:r>
              <w:drawing>
                <wp:anchor distT="0" distB="0" distL="114935" distR="114935" simplePos="0" relativeHeight="251658240" behindDoc="0" locked="0" layoutInCell="1" allowOverlap="1">
                  <wp:simplePos x="0" y="0"/>
                  <wp:positionH relativeFrom="column">
                    <wp:posOffset>130810</wp:posOffset>
                  </wp:positionH>
                  <wp:positionV relativeFrom="paragraph">
                    <wp:posOffset>34290</wp:posOffset>
                  </wp:positionV>
                  <wp:extent cx="6067425" cy="590550"/>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067425" cy="590550"/>
                          </a:xfrm>
                          <a:prstGeom prst="rect">
                            <a:avLst/>
                          </a:prstGeom>
                          <a:noFill/>
                          <a:ln>
                            <a:noFill/>
                          </a:ln>
                        </pic:spPr>
                      </pic:pic>
                    </a:graphicData>
                  </a:graphic>
                </wp:anchor>
              </w:drawing>
            </w:r>
            <w:r>
              <w:rPr>
                <w:rFonts w:hint="eastAsia" w:ascii="Times New Roman" w:hAnsi="Times New Roman" w:eastAsia="仿宋" w:cs="Times New Roman"/>
                <w:b w:val="0"/>
                <w:bCs w:val="0"/>
                <w:color w:val="000000"/>
                <w:sz w:val="28"/>
                <w:szCs w:val="28"/>
                <w:lang w:val="en-US" w:eastAsia="zh-CN"/>
              </w:rPr>
              <w:t>此项数值尽量提升，超过10%可视为显著有效。最终改善率将作为评审排名的核心量化指标之一。</w:t>
            </w:r>
          </w:p>
          <w:p>
            <w:pPr>
              <w:spacing w:after="0" w:line="240" w:lineRule="auto"/>
              <w:ind w:firstLine="595"/>
              <w:jc w:val="both"/>
              <w:rPr>
                <w:rFonts w:hint="default" w:ascii="Times New Roman" w:hAnsi="Times New Roman" w:eastAsia="仿宋" w:cs="Times New Roman"/>
                <w:b w:val="0"/>
                <w:bCs w:val="0"/>
                <w:color w:val="000000"/>
                <w:sz w:val="28"/>
                <w:szCs w:val="28"/>
                <w:lang w:val="en-US" w:eastAsia="zh-CN"/>
              </w:rPr>
            </w:pPr>
            <w:r>
              <w:rPr>
                <w:rFonts w:hint="default" w:ascii="Times New Roman" w:hAnsi="Times New Roman" w:eastAsia="仿宋" w:cs="Times New Roman"/>
                <w:b w:val="0"/>
                <w:bCs w:val="0"/>
                <w:color w:val="000000"/>
                <w:sz w:val="28"/>
                <w:szCs w:val="28"/>
                <w:lang w:val="en-US" w:eastAsia="zh-CN"/>
              </w:rPr>
              <w:t>说明：CVaR计算可采用日频收益率；如果数据频率更高（如15分钟），可统一为日频（例如取每日最后时刻的价格）。若测试期内未出现任何预警，则改善率为0。</w:t>
            </w:r>
          </w:p>
          <w:p>
            <w:pPr>
              <w:spacing w:after="0" w:line="240" w:lineRule="auto"/>
              <w:ind w:firstLine="595"/>
              <w:jc w:val="both"/>
              <w:rPr>
                <w:rFonts w:hint="default" w:ascii="Times New Roman" w:hAnsi="Times New Roman" w:eastAsia="仿宋" w:cs="Times New Roman"/>
                <w:b w:val="0"/>
                <w:bCs w:val="0"/>
                <w:color w:val="000000"/>
                <w:sz w:val="28"/>
                <w:szCs w:val="28"/>
                <w:lang w:val="en-US"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3. 智能体解释能力（若完成问题2）</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智能体在输出预警等级的同时，应提供基于知识图谱推理的文本解释（说明触发预警的关键曲面特征、风险传导路径及可能后果）。对生成的解释文本进行人工评分（5分制），要求平均分 ≥ 4分。评分维度：语义清晰、因果逻辑合理、不包含具体交易建议（仅提示风险和分析）。</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4. 智能体决策优化能力（若完成问题3）</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智能体应具备基于深度强化学习的自适应决策能力，能够根据历史预警结果（奖励信号）动态优化预警策略。离线回测中，DRL驱动的智能体相比固定阈值规则型智能体，在累计奖励或CVaR改善率上提升 ≥ 10%（加分项门槛）。。</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5. 系统</w:t>
            </w:r>
            <w:r>
              <w:rPr>
                <w:rFonts w:hint="eastAsia" w:ascii="Times New Roman" w:hAnsi="Times New Roman" w:eastAsia="仿宋" w:cs="Times New Roman"/>
                <w:b/>
                <w:bCs/>
                <w:color w:val="000000"/>
                <w:sz w:val="28"/>
                <w:szCs w:val="28"/>
                <w:lang w:val="en-US" w:eastAsia="zh-CN"/>
              </w:rPr>
              <w:t>功能</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可分析历史数据；提供Web或Jupyter Notebook可视化界面。不强制要求实时行情接入。</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p>
          <w:p>
            <w:pPr>
              <w:spacing w:after="0" w:line="240" w:lineRule="auto"/>
              <w:ind w:firstLine="595"/>
              <w:jc w:val="both"/>
              <w:rPr>
                <w:rFonts w:hint="eastAsia"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成果交付形式：</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1. 可运行的原型系统源码（Python，含依赖说明）</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2. 系统部署与运行文档</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3. 离线回测报告（对比基线模型，展示关键指标及典型案例）</w:t>
            </w:r>
          </w:p>
          <w:p>
            <w:pPr>
              <w:spacing w:after="0" w:line="240" w:lineRule="auto"/>
              <w:ind w:firstLine="595"/>
              <w:jc w:val="both"/>
              <w:rPr>
                <w:rFonts w:hint="eastAsia" w:ascii="Times New Roman" w:hAnsi="Times New Roman" w:eastAsia="仿宋" w:cs="Times New Roman"/>
                <w:b w:val="0"/>
                <w:bCs w:val="0"/>
                <w:color w:val="000000"/>
                <w:sz w:val="28"/>
                <w:szCs w:val="28"/>
                <w:lang w:eastAsia="zh-CN"/>
              </w:rPr>
            </w:pPr>
            <w:r>
              <w:rPr>
                <w:rFonts w:hint="eastAsia" w:ascii="Times New Roman" w:hAnsi="Times New Roman" w:eastAsia="仿宋" w:cs="Times New Roman"/>
                <w:b w:val="0"/>
                <w:bCs w:val="0"/>
                <w:color w:val="000000"/>
                <w:sz w:val="28"/>
                <w:szCs w:val="28"/>
                <w:lang w:eastAsia="zh-CN"/>
              </w:rPr>
              <w:t>4. 预警可视化界面</w:t>
            </w:r>
          </w:p>
          <w:p>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b w:val="0"/>
                <w:bCs w:val="0"/>
                <w:color w:val="000000"/>
                <w:sz w:val="28"/>
                <w:szCs w:val="28"/>
                <w:lang w:eastAsia="zh-CN"/>
              </w:rPr>
              <w:t>5. 技术设计文档（含知识图谱Schema、DRL状态/动作/奖励设计等，如适用）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本赛题采用“</w:t>
            </w:r>
            <w:r>
              <w:rPr>
                <w:rFonts w:hint="eastAsia" w:ascii="Times New Roman" w:hAnsi="Times New Roman" w:eastAsia="仿宋" w:cs="Times New Roman"/>
                <w:color w:val="000000"/>
                <w:sz w:val="28"/>
                <w:szCs w:val="28"/>
                <w:lang w:val="en-US" w:eastAsia="zh-CN"/>
              </w:rPr>
              <w:t>企业</w:t>
            </w:r>
            <w:r>
              <w:rPr>
                <w:rFonts w:hint="eastAsia" w:ascii="Times New Roman" w:hAnsi="Times New Roman" w:eastAsia="仿宋" w:cs="Times New Roman"/>
                <w:color w:val="000000"/>
                <w:sz w:val="28"/>
                <w:szCs w:val="28"/>
                <w:lang w:eastAsia="zh-CN"/>
              </w:rPr>
              <w:t>方提供核心数据 + 参赛团队自行获取公开数据”的混合供给模式。</w:t>
            </w:r>
          </w:p>
          <w:p>
            <w:pPr>
              <w:spacing w:after="0" w:line="240" w:lineRule="auto"/>
              <w:ind w:firstLine="595"/>
              <w:jc w:val="both"/>
              <w:rPr>
                <w:rFonts w:hint="eastAsia" w:ascii="Times New Roman" w:hAnsi="Times New Roman" w:eastAsia="仿宋" w:cs="Times New Roman"/>
                <w:color w:val="000000"/>
                <w:sz w:val="28"/>
                <w:szCs w:val="28"/>
                <w:lang w:eastAsia="zh-CN"/>
              </w:rPr>
            </w:pPr>
          </w:p>
          <w:p>
            <w:pPr>
              <w:spacing w:after="0" w:line="240" w:lineRule="auto"/>
              <w:ind w:firstLine="595"/>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企业</w:t>
            </w:r>
            <w:r>
              <w:rPr>
                <w:rFonts w:hint="eastAsia" w:ascii="Times New Roman" w:hAnsi="Times New Roman" w:eastAsia="仿宋" w:cs="Times New Roman"/>
                <w:color w:val="000000"/>
                <w:sz w:val="28"/>
                <w:szCs w:val="28"/>
                <w:lang w:eastAsia="zh-CN"/>
              </w:rPr>
              <w:t>方将提供以下</w:t>
            </w:r>
            <w:r>
              <w:rPr>
                <w:rFonts w:hint="eastAsia" w:ascii="Times New Roman" w:hAnsi="Times New Roman" w:eastAsia="仿宋" w:cs="Times New Roman"/>
                <w:color w:val="000000"/>
                <w:sz w:val="28"/>
                <w:szCs w:val="28"/>
                <w:lang w:val="en-US" w:eastAsia="zh-CN"/>
              </w:rPr>
              <w:t>期权</w:t>
            </w:r>
            <w:r>
              <w:rPr>
                <w:rFonts w:hint="eastAsia" w:ascii="Times New Roman" w:hAnsi="Times New Roman" w:eastAsia="仿宋" w:cs="Times New Roman"/>
                <w:color w:val="000000"/>
                <w:sz w:val="28"/>
                <w:szCs w:val="28"/>
                <w:lang w:eastAsia="zh-CN"/>
              </w:rPr>
              <w:t>自建数据：</w:t>
            </w:r>
          </w:p>
          <w:p>
            <w:pPr>
              <w:numPr>
                <w:ilvl w:val="0"/>
                <w:numId w:val="1"/>
              </w:num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202</w:t>
            </w: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—202</w:t>
            </w:r>
            <w:r>
              <w:rPr>
                <w:rFonts w:hint="eastAsia" w:ascii="Times New Roman" w:hAnsi="Times New Roman" w:eastAsia="仿宋" w:cs="Times New Roman"/>
                <w:color w:val="000000"/>
                <w:sz w:val="28"/>
                <w:szCs w:val="28"/>
                <w:lang w:val="en-US" w:eastAsia="zh-CN"/>
              </w:rPr>
              <w:t>6</w:t>
            </w:r>
            <w:r>
              <w:rPr>
                <w:rFonts w:hint="eastAsia" w:ascii="Times New Roman" w:hAnsi="Times New Roman" w:eastAsia="仿宋" w:cs="Times New Roman"/>
                <w:color w:val="000000"/>
                <w:sz w:val="28"/>
                <w:szCs w:val="28"/>
                <w:lang w:eastAsia="zh-CN"/>
              </w:rPr>
              <w:t>年</w:t>
            </w:r>
            <w:r>
              <w:rPr>
                <w:rFonts w:hint="eastAsia" w:ascii="Times New Roman" w:hAnsi="Times New Roman" w:eastAsia="仿宋" w:cs="Times New Roman"/>
                <w:color w:val="000000"/>
                <w:sz w:val="28"/>
                <w:szCs w:val="28"/>
                <w:lang w:val="en-US" w:eastAsia="zh-CN"/>
              </w:rPr>
              <w:t>15分钟频</w:t>
            </w:r>
            <w:r>
              <w:rPr>
                <w:rFonts w:hint="eastAsia" w:ascii="Times New Roman" w:hAnsi="Times New Roman" w:eastAsia="仿宋" w:cs="Times New Roman"/>
                <w:color w:val="000000"/>
                <w:sz w:val="28"/>
                <w:szCs w:val="28"/>
                <w:lang w:eastAsia="zh-CN"/>
              </w:rPr>
              <w:t>期权隐含波动率及希腊字母数据（覆盖</w:t>
            </w:r>
            <w:r>
              <w:rPr>
                <w:rFonts w:hint="eastAsia" w:ascii="Times New Roman" w:hAnsi="Times New Roman" w:eastAsia="仿宋" w:cs="Times New Roman"/>
                <w:color w:val="000000"/>
                <w:sz w:val="28"/>
                <w:szCs w:val="28"/>
                <w:lang w:val="en-US" w:eastAsia="zh-CN"/>
              </w:rPr>
              <w:t>大部分商品</w:t>
            </w:r>
            <w:r>
              <w:rPr>
                <w:rFonts w:hint="eastAsia" w:ascii="Times New Roman" w:hAnsi="Times New Roman" w:eastAsia="仿宋" w:cs="Times New Roman"/>
                <w:color w:val="000000"/>
                <w:sz w:val="28"/>
                <w:szCs w:val="28"/>
                <w:lang w:eastAsia="zh-CN"/>
              </w:rPr>
              <w:t>期权），基于BS模型自建，固定利率假设下存在一定估计偏差，</w:t>
            </w:r>
            <w:r>
              <w:rPr>
                <w:rFonts w:hint="eastAsia" w:ascii="Times New Roman" w:hAnsi="Times New Roman" w:eastAsia="仿宋" w:cs="Times New Roman"/>
                <w:color w:val="000000"/>
                <w:sz w:val="28"/>
                <w:szCs w:val="28"/>
                <w:lang w:val="en-US" w:eastAsia="zh-CN"/>
              </w:rPr>
              <w:t>数据约2亿6000万行，15列，Parquet格式</w:t>
            </w:r>
            <w:r>
              <w:rPr>
                <w:rFonts w:hint="eastAsia" w:ascii="Times New Roman" w:hAnsi="Times New Roman" w:eastAsia="仿宋" w:cs="Times New Roman"/>
                <w:color w:val="000000"/>
                <w:sz w:val="28"/>
                <w:szCs w:val="28"/>
                <w:lang w:eastAsia="zh-CN"/>
              </w:rPr>
              <w:t>；</w:t>
            </w:r>
          </w:p>
          <w:p>
            <w:pPr>
              <w:numPr>
                <w:ilvl w:val="0"/>
                <w:numId w:val="1"/>
              </w:num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典型极端行情时间标注</w:t>
            </w:r>
            <w:r>
              <w:rPr>
                <w:rFonts w:hint="eastAsia" w:ascii="Times New Roman" w:hAnsi="Times New Roman" w:eastAsia="仿宋" w:cs="Times New Roman"/>
                <w:color w:val="000000"/>
                <w:sz w:val="28"/>
                <w:szCs w:val="28"/>
                <w:lang w:val="en-US" w:eastAsia="zh-CN"/>
              </w:rPr>
              <w:t>表格一份（18个事件），参赛团队也可自行扩充其余极端行情事件</w:t>
            </w:r>
            <w:r>
              <w:rPr>
                <w:rFonts w:hint="eastAsia" w:ascii="Times New Roman" w:hAnsi="Times New Roman" w:eastAsia="仿宋" w:cs="Times New Roman"/>
                <w:color w:val="000000"/>
                <w:sz w:val="28"/>
                <w:szCs w:val="28"/>
                <w:lang w:eastAsia="zh-CN"/>
              </w:rPr>
              <w:t>。</w:t>
            </w:r>
          </w:p>
          <w:p>
            <w:pPr>
              <w:numPr>
                <w:ilvl w:val="0"/>
                <w:numId w:val="0"/>
              </w:numPr>
              <w:spacing w:after="0" w:line="240" w:lineRule="auto"/>
              <w:jc w:val="both"/>
              <w:rPr>
                <w:rFonts w:ascii="Times New Roman" w:hAnsi="Times New Roman" w:eastAsia="仿宋" w:cs="Times New Roman"/>
                <w:color w:val="000000"/>
                <w:sz w:val="28"/>
                <w:szCs w:val="28"/>
                <w:lang w:eastAsia="zh-CN"/>
              </w:rPr>
            </w:pPr>
          </w:p>
          <w:p>
            <w:pPr>
              <w:numPr>
                <w:ilvl w:val="0"/>
                <w:numId w:val="0"/>
              </w:num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需自行获取的公开数据（可选）：</w:t>
            </w:r>
          </w:p>
          <w:p>
            <w:pPr>
              <w:numPr>
                <w:ilvl w:val="0"/>
                <w:numId w:val="0"/>
              </w:num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参赛团队可自行通过AKShare等开源接口获取更高频的标的价格数据，或通过公开新闻、研报辅助解释生成，但不做强制要求。</w:t>
            </w:r>
          </w:p>
        </w:tc>
      </w:tr>
    </w:tbl>
    <w:p>
      <w:pPr>
        <w:rPr>
          <w:lang w:eastAsia="zh-CN"/>
        </w:rPr>
      </w:pPr>
    </w:p>
    <w:sectPr>
      <w:pgSz w:w="11906" w:h="16838"/>
      <w:pgMar w:top="1134" w:right="850" w:bottom="1134" w:left="1701" w:header="709" w:footer="709"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C49D2C"/>
    <w:multiLevelType w:val="singleLevel"/>
    <w:tmpl w:val="E1C49D2C"/>
    <w:lvl w:ilvl="0" w:tentative="0">
      <w:start w:val="1"/>
      <w:numFmt w:val="decimalEnclosedCircleChinese"/>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F4E8E"/>
    <w:rsid w:val="003A515C"/>
    <w:rsid w:val="007569AF"/>
    <w:rsid w:val="00913D29"/>
    <w:rsid w:val="00A7760B"/>
    <w:rsid w:val="00FC0FF6"/>
    <w:rsid w:val="022D7CFE"/>
    <w:rsid w:val="05232004"/>
    <w:rsid w:val="05813AD1"/>
    <w:rsid w:val="074F04D5"/>
    <w:rsid w:val="07890F0E"/>
    <w:rsid w:val="08DA628E"/>
    <w:rsid w:val="08EB54DA"/>
    <w:rsid w:val="09317954"/>
    <w:rsid w:val="09FB4F30"/>
    <w:rsid w:val="0A0B4286"/>
    <w:rsid w:val="0A3A214E"/>
    <w:rsid w:val="0A3F40D1"/>
    <w:rsid w:val="0A4814F9"/>
    <w:rsid w:val="0B6B5DC9"/>
    <w:rsid w:val="0DE56831"/>
    <w:rsid w:val="0E057C09"/>
    <w:rsid w:val="10261B10"/>
    <w:rsid w:val="105A3484"/>
    <w:rsid w:val="10F74A15"/>
    <w:rsid w:val="116708D4"/>
    <w:rsid w:val="12E06AA8"/>
    <w:rsid w:val="14AD00C3"/>
    <w:rsid w:val="15D027FC"/>
    <w:rsid w:val="15F260B1"/>
    <w:rsid w:val="161F33E1"/>
    <w:rsid w:val="168A7F45"/>
    <w:rsid w:val="16FB1C7D"/>
    <w:rsid w:val="174776A9"/>
    <w:rsid w:val="17982CC8"/>
    <w:rsid w:val="17A75573"/>
    <w:rsid w:val="18537D87"/>
    <w:rsid w:val="189A1B44"/>
    <w:rsid w:val="18A0421D"/>
    <w:rsid w:val="19C82E6F"/>
    <w:rsid w:val="19D74B96"/>
    <w:rsid w:val="1ACC27C6"/>
    <w:rsid w:val="1B2F69D9"/>
    <w:rsid w:val="1B7B394A"/>
    <w:rsid w:val="1BF94ECB"/>
    <w:rsid w:val="1CBE3362"/>
    <w:rsid w:val="1DF24752"/>
    <w:rsid w:val="1EB21F0C"/>
    <w:rsid w:val="1ED37BC9"/>
    <w:rsid w:val="20EB404E"/>
    <w:rsid w:val="21AF2072"/>
    <w:rsid w:val="23395157"/>
    <w:rsid w:val="25915D83"/>
    <w:rsid w:val="260E3DEC"/>
    <w:rsid w:val="2620596F"/>
    <w:rsid w:val="2A9F2F18"/>
    <w:rsid w:val="2E7D0002"/>
    <w:rsid w:val="2FC1626D"/>
    <w:rsid w:val="3069141F"/>
    <w:rsid w:val="313E762F"/>
    <w:rsid w:val="315653B1"/>
    <w:rsid w:val="31AD117F"/>
    <w:rsid w:val="331004C3"/>
    <w:rsid w:val="332B31AB"/>
    <w:rsid w:val="340867BE"/>
    <w:rsid w:val="35374B9A"/>
    <w:rsid w:val="377358E0"/>
    <w:rsid w:val="388B184A"/>
    <w:rsid w:val="39F006B4"/>
    <w:rsid w:val="3A0B1E6F"/>
    <w:rsid w:val="3A856E6F"/>
    <w:rsid w:val="3B3126ED"/>
    <w:rsid w:val="3D700DC8"/>
    <w:rsid w:val="3DC5693A"/>
    <w:rsid w:val="3DDF571B"/>
    <w:rsid w:val="3E2A5D58"/>
    <w:rsid w:val="3FFA1F17"/>
    <w:rsid w:val="41181671"/>
    <w:rsid w:val="41E425B0"/>
    <w:rsid w:val="42797E1E"/>
    <w:rsid w:val="43216AB7"/>
    <w:rsid w:val="43AA1C18"/>
    <w:rsid w:val="43D75D9F"/>
    <w:rsid w:val="43F02257"/>
    <w:rsid w:val="4537078A"/>
    <w:rsid w:val="4804015E"/>
    <w:rsid w:val="484D0F5E"/>
    <w:rsid w:val="49BF127E"/>
    <w:rsid w:val="4C91335F"/>
    <w:rsid w:val="4D516536"/>
    <w:rsid w:val="4DEC3EF6"/>
    <w:rsid w:val="4E0F2838"/>
    <w:rsid w:val="4EA73B3B"/>
    <w:rsid w:val="4F104F20"/>
    <w:rsid w:val="4F675CFA"/>
    <w:rsid w:val="4FA965D1"/>
    <w:rsid w:val="4FDF3A6C"/>
    <w:rsid w:val="500212FE"/>
    <w:rsid w:val="51764CEC"/>
    <w:rsid w:val="528B4BCA"/>
    <w:rsid w:val="543C39F0"/>
    <w:rsid w:val="567F52DE"/>
    <w:rsid w:val="57FF69F5"/>
    <w:rsid w:val="58671449"/>
    <w:rsid w:val="58787CA2"/>
    <w:rsid w:val="589E694B"/>
    <w:rsid w:val="5937046F"/>
    <w:rsid w:val="595F44D1"/>
    <w:rsid w:val="5A391956"/>
    <w:rsid w:val="5A8C5D91"/>
    <w:rsid w:val="5D430B7A"/>
    <w:rsid w:val="5E015731"/>
    <w:rsid w:val="60855C7E"/>
    <w:rsid w:val="60F51F09"/>
    <w:rsid w:val="61F67F39"/>
    <w:rsid w:val="6291001A"/>
    <w:rsid w:val="630D72F5"/>
    <w:rsid w:val="631A1551"/>
    <w:rsid w:val="639665DA"/>
    <w:rsid w:val="645778B0"/>
    <w:rsid w:val="66174BD4"/>
    <w:rsid w:val="68386A69"/>
    <w:rsid w:val="68395E5F"/>
    <w:rsid w:val="6874194F"/>
    <w:rsid w:val="6A1D0BC4"/>
    <w:rsid w:val="6AF67F13"/>
    <w:rsid w:val="6C135048"/>
    <w:rsid w:val="6CD07158"/>
    <w:rsid w:val="6EC27E23"/>
    <w:rsid w:val="6F084E86"/>
    <w:rsid w:val="6F433511"/>
    <w:rsid w:val="70D44AAD"/>
    <w:rsid w:val="7106514E"/>
    <w:rsid w:val="715C3765"/>
    <w:rsid w:val="724D75A7"/>
    <w:rsid w:val="72585B4D"/>
    <w:rsid w:val="729C622C"/>
    <w:rsid w:val="72B70E42"/>
    <w:rsid w:val="730021A5"/>
    <w:rsid w:val="75217696"/>
    <w:rsid w:val="78696238"/>
    <w:rsid w:val="78FF513E"/>
    <w:rsid w:val="79E16DC0"/>
    <w:rsid w:val="7A074272"/>
    <w:rsid w:val="7ADF7E9B"/>
    <w:rsid w:val="7B4A449A"/>
    <w:rsid w:val="7CBD553E"/>
    <w:rsid w:val="7CD35C45"/>
    <w:rsid w:val="7CE81CEF"/>
    <w:rsid w:val="7D0D40DF"/>
    <w:rsid w:val="7E2B064C"/>
    <w:rsid w:val="7F7D5E2A"/>
    <w:rsid w:val="7FCE1F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Words>
  <Characters>291</Characters>
  <Lines>2</Lines>
  <Paragraphs>1</Paragraphs>
  <TotalTime>3</TotalTime>
  <ScaleCrop>false</ScaleCrop>
  <LinksUpToDate>false</LinksUpToDate>
  <CharactersWithSpaces>340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2026-04-17T03:07:00Z</dcterms:created>
  <dc:creator>李昊骅 南京大学</dc:creator>
  <cp:lastModifiedBy>NZFCO</cp:lastModifiedBy>
  <dcterms:modified xsi:type="dcterms:W3CDTF">2026-04-30T01:25:16Z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