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eastAsia="黑体" w:cs="Times New Roman"/>
          <w:b/>
          <w:bCs/>
          <w:sz w:val="44"/>
          <w:szCs w:val="42"/>
          <w:lang w:eastAsia="zh-CN"/>
        </w:rPr>
      </w:pPr>
    </w:p>
    <w:p>
      <w:pPr>
        <w:spacing w:after="0" w:line="240" w:lineRule="auto"/>
        <w:jc w:val="center"/>
        <w:rPr>
          <w:rFonts w:eastAsia="黑体" w:cs="Times New Roman"/>
          <w:b/>
          <w:bCs/>
          <w:sz w:val="44"/>
          <w:szCs w:val="42"/>
          <w:lang w:eastAsia="zh-CN"/>
        </w:rPr>
      </w:pPr>
      <w:r>
        <w:rPr>
          <w:rFonts w:eastAsia="黑体" w:cs="Times New Roman"/>
          <w:b/>
          <w:bCs/>
          <w:sz w:val="44"/>
          <w:szCs w:val="42"/>
          <w:lang w:eastAsia="zh-CN"/>
        </w:rPr>
        <w:t>第五届中国研究生金融科技创新大赛</w:t>
      </w:r>
    </w:p>
    <w:p>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3"/>
        <w:tblW w:w="10063"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1276"/>
        <w:gridCol w:w="1984"/>
        <w:gridCol w:w="1346"/>
        <w:gridCol w:w="3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宁证期货有限责任公司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lang w:val="en-US" w:eastAsia="zh-CN"/>
              </w:rPr>
              <w:t>江苏省</w:t>
            </w:r>
            <w:r>
              <w:rPr>
                <w:rFonts w:hint="eastAsia" w:ascii="Times New Roman" w:hAnsi="Times New Roman" w:eastAsia="仿宋" w:cs="Times New Roman"/>
                <w:color w:val="000000"/>
                <w:sz w:val="28"/>
                <w:szCs w:val="28"/>
              </w:rPr>
              <w:t>南京市建邺区白龙江东街9号2幢二单元1901室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7"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宁证期货有限责任公司是经中国证券监督管理委员会批准成立的专业期货公司。    </w:t>
            </w:r>
          </w:p>
          <w:p>
            <w:pPr>
              <w:spacing w:after="0" w:line="240" w:lineRule="auto"/>
              <w:rPr>
                <w:rFonts w:hint="eastAsia" w:ascii="Times New Roman" w:hAnsi="Times New Roman" w:eastAsia="仿宋" w:cs="Times New Roman"/>
                <w:color w:val="000000"/>
                <w:sz w:val="28"/>
                <w:szCs w:val="28"/>
                <w:lang w:eastAsia="zh-CN"/>
              </w:rPr>
            </w:pPr>
          </w:p>
          <w:p>
            <w:pPr>
              <w:spacing w:after="0" w:line="240" w:lineRule="auto"/>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公司是上海期货交易所、大连商品交易所、郑州商品交易所、中国金融期货交易所、上海国际能源交易中心和广州期货交易所会员单位。经营范围包括：商品期货经纪、金融期货经纪、期货投资咨询和资产管理。</w:t>
            </w:r>
          </w:p>
          <w:p>
            <w:pPr>
              <w:spacing w:after="0" w:line="240" w:lineRule="auto"/>
              <w:rPr>
                <w:rFonts w:hint="eastAsia" w:ascii="Times New Roman" w:hAnsi="Times New Roman" w:eastAsia="仿宋" w:cs="Times New Roman"/>
                <w:color w:val="000000"/>
                <w:sz w:val="28"/>
                <w:szCs w:val="28"/>
                <w:lang w:eastAsia="zh-CN"/>
              </w:rPr>
            </w:pPr>
          </w:p>
          <w:p>
            <w:pPr>
              <w:spacing w:after="0" w:line="240" w:lineRule="auto"/>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自2008年落户江苏辖区以来，公司坚持立足江苏、服务实体经济的市场定位，牢牢把握“稳中求进”工作总基调，在精耕传统经纪业务的基础上主动谋求创新发展，不断增强专业服务能力，积极拓展市场空间，着力提升经营管理效率，坚决防范各类风险。</w:t>
            </w:r>
          </w:p>
          <w:p>
            <w:pPr>
              <w:spacing w:after="0" w:line="240" w:lineRule="auto"/>
              <w:rPr>
                <w:rFonts w:hint="eastAsia" w:ascii="Times New Roman" w:hAnsi="Times New Roman" w:eastAsia="仿宋" w:cs="Times New Roman"/>
                <w:color w:val="000000"/>
                <w:sz w:val="28"/>
                <w:szCs w:val="28"/>
                <w:lang w:eastAsia="zh-CN"/>
              </w:rPr>
            </w:pPr>
          </w:p>
          <w:p>
            <w:pPr>
              <w:spacing w:after="0" w:line="240" w:lineRule="auto"/>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以人为本、以心为桥、以诚为基、以德兴业”是宁证期货的经营宗旨。“专业理财、专心服务”是宁证期货的服务理念。宁证期货将坚定不移走好中国特色金融发展之路，持续强化风险防控能力，服务实体经济高质量发展，为建设金融强国、实现中国式现代化贡献“期货力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127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姓名</w:t>
            </w:r>
          </w:p>
        </w:tc>
        <w:tc>
          <w:tcPr>
            <w:tcW w:w="1984"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王裕豪</w:t>
            </w:r>
          </w:p>
        </w:tc>
        <w:tc>
          <w:tcPr>
            <w:tcW w:w="134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职务</w:t>
            </w:r>
          </w:p>
        </w:tc>
        <w:tc>
          <w:tcPr>
            <w:tcW w:w="333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业务主管</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40" w:lineRule="auto"/>
              <w:rPr>
                <w:rFonts w:ascii="Times New Roman" w:hAnsi="Times New Roman" w:eastAsia="黑体" w:cs="Times New Roman"/>
                <w:b/>
                <w:bCs/>
                <w:color w:val="000000"/>
                <w:sz w:val="28"/>
                <w:szCs w:val="28"/>
                <w:lang w:eastAsia="zh-CN"/>
              </w:rPr>
            </w:pPr>
          </w:p>
        </w:tc>
        <w:tc>
          <w:tcPr>
            <w:tcW w:w="127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手机</w:t>
            </w:r>
          </w:p>
        </w:tc>
        <w:tc>
          <w:tcPr>
            <w:tcW w:w="1984"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19537776239</w:t>
            </w:r>
          </w:p>
        </w:tc>
        <w:tc>
          <w:tcPr>
            <w:tcW w:w="134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邮箱</w:t>
            </w:r>
          </w:p>
        </w:tc>
        <w:tc>
          <w:tcPr>
            <w:tcW w:w="333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wangyuhao@nzfco.com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val="en-US" w:eastAsia="zh-CN"/>
              </w:rPr>
              <w:t>基于合成数据的CTA基金绩效归因与风格漂移监测系统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7937" w:type="dxa"/>
            <w:gridSpan w:val="4"/>
            <w:vMerge w:val="restart"/>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 如何应对CTA（商品交易顾问）基金策略的非线性收益特征与私募净值数据定向披露的新监管环境，利用合成数据技术在少量真实净值样本基础上，构建一套融合线性因子模型与非线性归因模型的绩效归因和风格漂移量化预警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黑体" w:cs="Times New Roman"/>
                <w:b/>
                <w:bCs/>
                <w:color w:val="000000"/>
                <w:sz w:val="28"/>
                <w:szCs w:val="28"/>
                <w:lang w:eastAsia="zh-CN"/>
              </w:rPr>
            </w:pPr>
            <w:r>
              <w:rPr>
                <w:rFonts w:ascii="Times New Roman" w:hAnsi="Times New Roman" w:eastAsia="黑体" w:cs="Times New Roman"/>
                <w:b/>
                <w:bCs/>
                <w:color w:val="000000"/>
                <w:sz w:val="28"/>
                <w:szCs w:val="28"/>
                <w:lang w:eastAsia="zh-CN"/>
              </w:rPr>
              <w:t>业务场景描述</w:t>
            </w:r>
          </w:p>
          <w:p>
            <w:pPr>
              <w:spacing w:after="0" w:line="240" w:lineRule="auto"/>
              <w:rPr>
                <w:rFonts w:ascii="Times New Roman" w:hAnsi="Times New Roman" w:eastAsia="黑体" w:cs="Times New Roman"/>
                <w:b/>
                <w:bCs/>
                <w:color w:val="000000"/>
                <w:sz w:val="28"/>
                <w:szCs w:val="28"/>
                <w:lang w:eastAsia="zh-CN"/>
              </w:rPr>
            </w:pPr>
          </w:p>
          <w:p>
            <w:pPr>
              <w:widowControl/>
              <w:numPr>
                <w:ilvl w:val="0"/>
                <w:numId w:val="0"/>
              </w:numPr>
              <w:spacing w:after="0" w:line="240" w:lineRule="auto"/>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（一）监管新规与行业现状</w:t>
            </w: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2025年10月，中国证券投资基金业协会发文明确要求基金管理人"建立合理的风控模型""科学运用业绩归因结果"，基金评价机构需围绕业绩比较基准建立五年期以上长周期业绩评价体系。2026年1月，证监会正式发布《公开募集证券投资基金业绩比较基准指引》，自2026年3月1日起施行。《指引》指出，公募行业长期存在缺乏系统性监管、多数管理人未建立全链条内控机制、个别产品出现"风格漂移""基金盲盒"等痛点。</w:t>
            </w: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与此同时，2026年9月1日起施行的《私募投资基金信息披露监督管理办法》确立了私募数据"定向披露"原则，基金净值展示被严格限制在"合格投资者定向披露"范围内。</w:t>
            </w: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基金评价新规重塑评价体系： 2026年1月，证监会发布的《公开募集证券投资指引》明确，基金评价机构应当将业绩比较基准作为评价基金管理情况的重要依据，以更加科学客观地衡量基金投资业绩、风险控制能力和风格稳定性。业绩归因的结果与基金经理薪酬挂钩， 跑输基准超过10%且利润率为负者绩效薪酬降幅不得少于30%，行业对归因技术提出刚性要求。</w:t>
            </w: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CTA基金收益呈现显著的非线性、路径依赖、多策略混合等特征，与股票型基金的线性归因模式存在本质区别；策略风格可能在趋势跟踪与均值回归之间漂移，管理层难以判断策略失效的真正原因；私募净值数据的合规获取难度持续上升，传统依赖大量真实净值进行归因分析的做法面临约束。监管趋严与数据受限两重压力下，行业急需在有限样本基础上实现归因精度与内控合规的平衡。</w:t>
            </w: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p>
          <w:p>
            <w:pPr>
              <w:widowControl/>
              <w:numPr>
                <w:ilvl w:val="0"/>
                <w:numId w:val="0"/>
              </w:numPr>
              <w:spacing w:after="0" w:line="240" w:lineRule="auto"/>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（二）市场极端波动的验证：风格漂移监测势在必行</w:t>
            </w: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2025年末至2026年初，大宗商品市场经历了历史罕见的极端行情。2026年1月白银创下单月逾67%涨幅后随即出现单日跌幅超30%的闪崩；2026年3月至4月原油市场地缘冲突、政策干预与资金博弈三重共振，WTI原油单日振幅多次超40%。市场大幅波动期间风格漂移风险尤为突出。</w:t>
            </w: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在监管趋严与市场高波动的双重背景下，构建科学的CTA基金业绩归因体系和风格漂移监测系统，已成为行业风控合规的基础性支撑。</w:t>
            </w:r>
          </w:p>
          <w:p>
            <w:pPr>
              <w:widowControl/>
              <w:numPr>
                <w:ilvl w:val="0"/>
                <w:numId w:val="0"/>
              </w:numPr>
              <w:spacing w:after="0" w:line="240" w:lineRule="auto"/>
              <w:jc w:val="both"/>
              <w:rPr>
                <w:rFonts w:hint="eastAsia" w:ascii="Times New Roman" w:hAnsi="Times New Roman" w:eastAsia="仿宋" w:cs="Times New Roman"/>
                <w:color w:val="000000"/>
                <w:sz w:val="28"/>
                <w:szCs w:val="2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技术攻关问题描述</w:t>
            </w:r>
          </w:p>
          <w:p>
            <w:pPr>
              <w:spacing w:after="0" w:line="240" w:lineRule="auto"/>
              <w:ind w:firstLine="595"/>
              <w:jc w:val="both"/>
              <w:rPr>
                <w:rFonts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问题1：合规数据受限与模型训练的平衡难题</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私募净值数据"定向披露"原则下，机构持有且可合法用于内部研究的基金净值样本量有限。如何利用合成数据等前沿金融科技，在少量真实净值样本基础上构建具有统计代表性的"合成基金池"，为非线性的归因模型提供足够训练数据，确保归因结果对真实业务具备指导意义？</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问题2：CTA策略的非线性收益如何实现可解释归因</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CTA基金收益来源复杂，涉及趋势跟踪、期限结构、波动率交易等多种因子，且这些因子在不同市场环境下表现出时变性和非线性关系。传统线性因子模型难以有效分解CTA策略的非线性收益。如何设计并验证一个线性多因子模型与非线性模型（如XGBoost、随机森林、Temporal Fusion Transformer等）混合的归因框架，以捕捉因子间的交互效应、非线性关系及状态依赖特征，并在保持可解释性的前提下与行业合规标准相衔接？</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问题3：风格漂移的量化与监管预警</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基金经理可能随市场环境变化调整策略权重，产生隐蔽的风格漂移。如何设计一套风格漂移指数（SDI），滚动计算基金在CTA风格因子上的暴露度变化，在SDI超过设定阈值时触发预警，辅助机构及时发现基准偏离风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攻关任务描述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ascii="Times New Roman" w:hAnsi="Times New Roman" w:eastAsia="仿宋" w:cs="Times New Roman"/>
                <w:color w:val="000000"/>
                <w:sz w:val="28"/>
                <w:szCs w:val="28"/>
                <w:lang w:eastAsia="zh-CN"/>
              </w:rPr>
              <w:t>）</w:t>
            </w:r>
          </w:p>
          <w:p>
            <w:pPr>
              <w:spacing w:after="0" w:line="240" w:lineRule="auto"/>
              <w:ind w:firstLine="595"/>
              <w:jc w:val="both"/>
              <w:rPr>
                <w:rFonts w:hint="eastAsia" w:ascii="Times New Roman" w:hAnsi="Times New Roman" w:eastAsia="仿宋" w:cs="Times New Roman"/>
                <w:b/>
                <w:bCs/>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任务一：合成数据生成与归因框架构建</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参赛团队需利用主办方提供的少量真实净值样本，采用合成数据技术生成扩展的统计虚拟基金池，并在此基础上构建不少于8个CTA风格因子的因子池，覆盖趋势/动量、期限结构、波动率、套利等至少3个类别；须同时实现线性多因子模型与非线性归因模型，并系统对比两类模型在CTA策略归因上的解释力差异（R²/调整后R²）。鼓励自建创新因子并在报告中说明经济学逻辑。</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交付成果：因子计算与归因模型源码（含创新因子与模型设计方法说明）、技术对比报告、技术文档。</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任务二：风格漂移量化监测与合规预警</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参赛团队需设计一套风格漂移指数（SDI），实现滚动窗口的CTA风格因子暴露度计算，跟踪风格变化趋势，在SDI超过设定阈值时触发预警。鼓励区分主动漂移与被动漂移，并探索利用大语言模型对归因结果和漂移监测生成自然语言解读报告，将量化输出转化为业务人员可理解的语言。</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交付成果：漂移监测模块源码、SDI可视化界面、技术文档（含与监管合规标准的映射说明）。</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任务三：系统集成与人机协同（加分项）</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集成归因与监测功能，形成用户友好的前端界面（Web应用/量化平台插件/小程序），支持交互式查询；可将量化预警结果与文本解读联合呈现，辅助投研与风控人员快速了解潜在风险。</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b w:val="0"/>
                <w:bCs w:val="0"/>
                <w:color w:val="000000"/>
                <w:sz w:val="28"/>
                <w:szCs w:val="28"/>
                <w:lang w:eastAsia="zh-CN"/>
              </w:rPr>
              <w:t>交付成果：可运行系统原型、用户手册。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现有基础</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ascii="Times New Roman" w:hAnsi="Times New Roman" w:eastAsia="仿宋" w:cs="Times New Roman"/>
                <w:color w:val="000000"/>
                <w:sz w:val="28"/>
                <w:szCs w:val="28"/>
                <w:lang w:eastAsia="zh-CN"/>
              </w:rPr>
              <w:t>）</w:t>
            </w: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命题单位已在CTA归因研究领域积累了前期基础：</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合成数据技术储备：围绕开源合成数据生成工具开展技术预研，完成合成数据在基金净值场景下的可行性初步验证，能够从少量真实样本生成统计特征高度相似的扩展样本，为合规数据受限问题提供技术解决路径。</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投资咨询与归因实践：公司具备期货投资咨询</w:t>
            </w:r>
            <w:r>
              <w:rPr>
                <w:rFonts w:hint="eastAsia" w:ascii="Times New Roman" w:hAnsi="Times New Roman" w:eastAsia="仿宋" w:cs="Times New Roman"/>
                <w:color w:val="000000"/>
                <w:sz w:val="28"/>
                <w:szCs w:val="28"/>
                <w:lang w:val="en-US" w:eastAsia="zh-CN"/>
              </w:rPr>
              <w:t>/资产管理</w:t>
            </w:r>
            <w:r>
              <w:rPr>
                <w:rFonts w:hint="eastAsia" w:ascii="Times New Roman" w:hAnsi="Times New Roman" w:eastAsia="仿宋" w:cs="Times New Roman"/>
                <w:color w:val="000000"/>
                <w:sz w:val="28"/>
                <w:szCs w:val="28"/>
                <w:lang w:eastAsia="zh-CN"/>
              </w:rPr>
              <w:t>业务牌照，积累了CTA策略研究、衍生品定价与风险监控领域的业务经验。内部持有少量CTA私募产品净值数据，可作为真实样本库用于合成数据生成的底本和归因模型的业务逻辑验证。</w:t>
            </w:r>
          </w:p>
          <w:p>
            <w:pPr>
              <w:spacing w:after="0" w:line="240" w:lineRule="auto"/>
              <w:jc w:val="both"/>
              <w:rPr>
                <w:rFonts w:ascii="Times New Roman" w:hAnsi="Times New Roman" w:eastAsia="仿宋" w:cs="Times New Roman"/>
                <w:color w:val="000000"/>
                <w:sz w:val="28"/>
                <w:szCs w:val="2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任务目标</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ascii="Times New Roman" w:hAnsi="Times New Roman" w:eastAsia="仿宋" w:cs="Times New Roman"/>
                <w:color w:val="000000"/>
                <w:sz w:val="28"/>
                <w:szCs w:val="28"/>
                <w:lang w:eastAsia="zh-CN"/>
              </w:rPr>
              <w:t>）</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总体目标：</w:t>
            </w:r>
            <w:r>
              <w:rPr>
                <w:rFonts w:hint="eastAsia" w:ascii="Times New Roman" w:hAnsi="Times New Roman" w:eastAsia="仿宋" w:cs="Times New Roman"/>
                <w:b w:val="0"/>
                <w:bCs w:val="0"/>
                <w:color w:val="000000"/>
                <w:sz w:val="28"/>
                <w:szCs w:val="28"/>
                <w:lang w:eastAsia="zh-CN"/>
              </w:rPr>
              <w:t>构建一套基于合成数据的CTA基金绩效归因与风格漂移监测系统原型，实现在合规数据受限条件下的归因精度优化与漂移预警。系统定位为辅助工具，输出仅供投研与风控参考，不构成交易建议。</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核心指标：</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非线性归因模型相比传统线性模型的R²提升幅度（≥15%）；</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合成基金池在均值、方差、相关性等统计特征上与原始样本的匹配度；</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在历史极端行情区间，SDI预警信号与后续实际风格偏移的实际业务验证（需团队自定指标口径并展示验证逻辑）；</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对监管"科学运用业绩归因结果"要求的覆盖情况。</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上述指标由参赛团队在技术报告中自主定义并完成回测验证，确保问责口径的客观可复现。</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成果交付：</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可运行系统原型；</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技术报告（含模型原理、数据来源、实验设计与评测结果，建议单独设节，阐明系统与下述监管文件的对接设计：2025年10月中基协业绩归因要求、2026年1月证监会《业绩比较基准指引》、2026年9月将施行的《私募投资基金信息披露监督管理办法》）；</w:t>
            </w:r>
          </w:p>
          <w:p>
            <w:pPr>
              <w:spacing w:after="0" w:line="240" w:lineRule="auto"/>
              <w:ind w:firstLine="595"/>
              <w:jc w:val="both"/>
              <w:rPr>
                <w:rFonts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用户手册（面向投研/风控/合规三类用户的适用说明）。</w:t>
            </w:r>
          </w:p>
          <w:p>
            <w:pPr>
              <w:spacing w:after="0" w:line="240" w:lineRule="auto"/>
              <w:ind w:firstLine="595"/>
              <w:jc w:val="both"/>
              <w:rPr>
                <w:rFonts w:ascii="Times New Roman" w:hAnsi="Times New Roman" w:eastAsia="仿宋" w:cs="Times New Roman"/>
                <w:color w:val="000000"/>
                <w:sz w:val="28"/>
                <w:szCs w:val="2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数据集描述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ascii="Times New Roman" w:hAnsi="Times New Roman" w:eastAsia="仿宋" w:cs="Times New Roman"/>
                <w:color w:val="000000"/>
                <w:sz w:val="28"/>
                <w:szCs w:val="28"/>
                <w:lang w:eastAsia="zh-CN"/>
              </w:rPr>
              <w:t>）</w:t>
            </w: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基金净值数据：</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内容：基于我司合法持有的少量CTA基金真实净值，通过合成数据技术生成的扩展虚拟基金池，经过去标识化与编号处理，无法反向追踪任何真实产品</w:t>
            </w: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范围：约30—50只"虚拟CTA基金"的日度净值序列（2018—2025年）</w:t>
            </w:r>
          </w:p>
          <w:p>
            <w:pPr>
              <w:spacing w:after="0" w:line="240" w:lineRule="auto"/>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b/>
                <w:bCs/>
                <w:color w:val="000000"/>
                <w:sz w:val="28"/>
                <w:szCs w:val="28"/>
                <w:lang w:val="en-US" w:eastAsia="zh-CN"/>
              </w:rPr>
              <w:t>期货量价数据</w:t>
            </w:r>
            <w:r>
              <w:rPr>
                <w:rFonts w:hint="eastAsia" w:ascii="Times New Roman" w:hAnsi="Times New Roman" w:eastAsia="仿宋" w:cs="Times New Roman"/>
                <w:b w:val="0"/>
                <w:bCs w:val="0"/>
                <w:color w:val="000000"/>
                <w:sz w:val="28"/>
                <w:szCs w:val="28"/>
                <w:lang w:val="en-US" w:eastAsia="zh-CN"/>
              </w:rPr>
              <w:t>参赛团队可通过开源数据API自行获取。</w:t>
            </w:r>
          </w:p>
        </w:tc>
      </w:tr>
    </w:tbl>
    <w:p>
      <w:pPr>
        <w:rPr>
          <w:lang w:eastAsia="zh-CN"/>
        </w:rPr>
      </w:pPr>
    </w:p>
    <w:sectPr>
      <w:pgSz w:w="11906" w:h="16838"/>
      <w:pgMar w:top="1134" w:right="850" w:bottom="1134" w:left="1701" w:header="709" w:footer="709"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8E"/>
    <w:rsid w:val="002F4E8E"/>
    <w:rsid w:val="007569AF"/>
    <w:rsid w:val="00913D29"/>
    <w:rsid w:val="00A7760B"/>
    <w:rsid w:val="00FC0FF6"/>
    <w:rsid w:val="022D7CFE"/>
    <w:rsid w:val="05232004"/>
    <w:rsid w:val="05813AD1"/>
    <w:rsid w:val="074F04D5"/>
    <w:rsid w:val="07890F0E"/>
    <w:rsid w:val="0A0B4286"/>
    <w:rsid w:val="0A3A214E"/>
    <w:rsid w:val="0A3F40D1"/>
    <w:rsid w:val="0E057C09"/>
    <w:rsid w:val="0E375B8E"/>
    <w:rsid w:val="10261B10"/>
    <w:rsid w:val="105A3484"/>
    <w:rsid w:val="11DF4051"/>
    <w:rsid w:val="12E06AA8"/>
    <w:rsid w:val="13E654CD"/>
    <w:rsid w:val="14AD00C3"/>
    <w:rsid w:val="150064F8"/>
    <w:rsid w:val="15F260B1"/>
    <w:rsid w:val="168A7F45"/>
    <w:rsid w:val="16FB1C7D"/>
    <w:rsid w:val="1726595A"/>
    <w:rsid w:val="17A75573"/>
    <w:rsid w:val="18537D87"/>
    <w:rsid w:val="189A1B44"/>
    <w:rsid w:val="18C84344"/>
    <w:rsid w:val="19D74B96"/>
    <w:rsid w:val="1B7B394A"/>
    <w:rsid w:val="1DF24752"/>
    <w:rsid w:val="1ED37BC9"/>
    <w:rsid w:val="213661C7"/>
    <w:rsid w:val="21AF2072"/>
    <w:rsid w:val="21F52673"/>
    <w:rsid w:val="250912AD"/>
    <w:rsid w:val="25915D83"/>
    <w:rsid w:val="260E3DEC"/>
    <w:rsid w:val="2A9F2F18"/>
    <w:rsid w:val="2ADE381C"/>
    <w:rsid w:val="2E7D0002"/>
    <w:rsid w:val="2FC1626D"/>
    <w:rsid w:val="3069141F"/>
    <w:rsid w:val="313E762F"/>
    <w:rsid w:val="315653B1"/>
    <w:rsid w:val="331004C3"/>
    <w:rsid w:val="332B31AB"/>
    <w:rsid w:val="33E1038F"/>
    <w:rsid w:val="346D30CC"/>
    <w:rsid w:val="36752DA7"/>
    <w:rsid w:val="377358E0"/>
    <w:rsid w:val="39F006B4"/>
    <w:rsid w:val="3A7059AC"/>
    <w:rsid w:val="3A856E6F"/>
    <w:rsid w:val="3B3126ED"/>
    <w:rsid w:val="3D90431D"/>
    <w:rsid w:val="3DC5693A"/>
    <w:rsid w:val="3FFA1F17"/>
    <w:rsid w:val="41181671"/>
    <w:rsid w:val="41D02316"/>
    <w:rsid w:val="41E425B0"/>
    <w:rsid w:val="42797E1E"/>
    <w:rsid w:val="42EB1679"/>
    <w:rsid w:val="43216AB7"/>
    <w:rsid w:val="43CB1E23"/>
    <w:rsid w:val="43D75D9F"/>
    <w:rsid w:val="44A74131"/>
    <w:rsid w:val="4537078A"/>
    <w:rsid w:val="49034648"/>
    <w:rsid w:val="49A600E9"/>
    <w:rsid w:val="49BF127E"/>
    <w:rsid w:val="4A751CA0"/>
    <w:rsid w:val="4CD501B9"/>
    <w:rsid w:val="4DE643F3"/>
    <w:rsid w:val="4EA73B3B"/>
    <w:rsid w:val="4FDF3A6C"/>
    <w:rsid w:val="500212FE"/>
    <w:rsid w:val="50EB6573"/>
    <w:rsid w:val="543C39F0"/>
    <w:rsid w:val="54A12A28"/>
    <w:rsid w:val="57FF69F5"/>
    <w:rsid w:val="58671449"/>
    <w:rsid w:val="58787CA2"/>
    <w:rsid w:val="589E694B"/>
    <w:rsid w:val="5937046F"/>
    <w:rsid w:val="595F44D1"/>
    <w:rsid w:val="5CC37D0D"/>
    <w:rsid w:val="5CE944F7"/>
    <w:rsid w:val="5D430B7A"/>
    <w:rsid w:val="5DC07AF3"/>
    <w:rsid w:val="5E015731"/>
    <w:rsid w:val="60855C7E"/>
    <w:rsid w:val="6291001A"/>
    <w:rsid w:val="630D72F5"/>
    <w:rsid w:val="631A1551"/>
    <w:rsid w:val="6378351C"/>
    <w:rsid w:val="639665DA"/>
    <w:rsid w:val="645778B0"/>
    <w:rsid w:val="66174BD4"/>
    <w:rsid w:val="692744F4"/>
    <w:rsid w:val="69A95FB8"/>
    <w:rsid w:val="6C135048"/>
    <w:rsid w:val="6EC27E23"/>
    <w:rsid w:val="6F433511"/>
    <w:rsid w:val="6F9F3BB7"/>
    <w:rsid w:val="75217696"/>
    <w:rsid w:val="784F5073"/>
    <w:rsid w:val="78FF513E"/>
    <w:rsid w:val="79E16DC0"/>
    <w:rsid w:val="7B4A449A"/>
    <w:rsid w:val="7CBD553E"/>
    <w:rsid w:val="7CE81CEF"/>
    <w:rsid w:val="7D0D40DF"/>
    <w:rsid w:val="7E2B064C"/>
    <w:rsid w:val="7F7D5E2A"/>
    <w:rsid w:val="7FCE1F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after="200" w:line="276" w:lineRule="auto"/>
      <w:jc w:val="left"/>
    </w:pPr>
    <w:rPr>
      <w:rFonts w:asciiTheme="minorHAnsi" w:hAnsiTheme="minorHAnsi" w:eastAsiaTheme="minorEastAsia" w:cstheme="minorBidi"/>
      <w:kern w:val="0"/>
      <w:sz w:val="22"/>
      <w:szCs w:val="22"/>
      <w:lang w:val="zh-CN"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50</Words>
  <Characters>291</Characters>
  <Lines>2</Lines>
  <Paragraphs>1</Paragraphs>
  <TotalTime>21</TotalTime>
  <ScaleCrop>false</ScaleCrop>
  <LinksUpToDate>false</LinksUpToDate>
  <CharactersWithSpaces>340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2026-04-17T03:07:00Z</dcterms:created>
  <dc:creator>李昊骅 南京大学</dc:creator>
  <cp:lastModifiedBy>NZFCO</cp:lastModifiedBy>
  <dcterms:modified xsi:type="dcterms:W3CDTF">2026-04-30T01:25:23Z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