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D3BD0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56260695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4DD3A7AF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3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59BE9A3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72C3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1BFD10FA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3A9E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5C58A"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东吴证券股份有限公司</w:t>
            </w:r>
          </w:p>
        </w:tc>
      </w:tr>
      <w:tr w14:paraId="533E2DBF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3758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C97BE"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江苏省苏州市工业园区星阳街5号</w:t>
            </w:r>
          </w:p>
        </w:tc>
      </w:tr>
      <w:tr w14:paraId="61886CD6"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E2A8B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329DA">
            <w:pPr>
              <w:spacing w:after="0" w:line="24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东吴证券作为全国性综合类证券公司，高度重视数字化转型与金融科技创新。近年来，公司在人工智能赋能金融业务方面持续投入，大力推动大模型及 Agentic AI 技术在投研、财富管理、合规审计等领域的深层次应用，致力于打造行业领先的数智化金融服务生态，以科技赋能实体经济与资本市场的高质量发展。</w:t>
            </w:r>
          </w:p>
        </w:tc>
      </w:tr>
      <w:tr w14:paraId="0A66AD1B"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E788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67696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5367B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任川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44A2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6E270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信息技术总部副总经理</w:t>
            </w:r>
          </w:p>
        </w:tc>
      </w:tr>
      <w:tr w14:paraId="5A790A6F"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E23A5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1CA0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D11AC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18610756988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57DB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450CE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rench@dwzq.com.cn</w:t>
            </w:r>
          </w:p>
        </w:tc>
      </w:tr>
      <w:tr w14:paraId="54A0D708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31A6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14:paraId="7EB839B0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9C88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A1CE5">
            <w:pPr>
              <w:spacing w:after="0" w:line="24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基于多智能体协同的港股IPO招股书解析与上市后风险预警探索</w:t>
            </w:r>
          </w:p>
        </w:tc>
      </w:tr>
      <w:tr w14:paraId="5948FF1D"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0ED0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BD0B9">
            <w:pPr>
              <w:spacing w:after="0" w:line="24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针对港股上市企业（尤其是未盈利公司）招股书专业度高、披露复杂的痛点，基于大语言模型与 Agentic AI 技术构建包含“基本面风控”与“市场情绪”的多角色智能体系统。实现对拟上市企业“内在财务/合规暗雷等”与“外在流动性”的交叉预警，并用上市当天、一周、一个月内、三个月内真实跌幅与破发数据进行辅助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验证。</w:t>
            </w:r>
          </w:p>
        </w:tc>
      </w:tr>
      <w:tr w14:paraId="136C794B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57085">
            <w:pP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</w:p>
          <w:p w14:paraId="7A790236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随着港股上市机制的改革，大量未盈利的生物科技及特专科技企业登陆港交所。这类企业财务结构复杂、商业化不确定性高，极易在上市后出现“暴涨暴跌”甚至深度破发的极端风险。当前面临三大瓶颈：</w:t>
            </w:r>
          </w:p>
          <w:p w14:paraId="7AE65A35">
            <w:pPr>
              <w:numPr>
                <w:ilvl w:val="0"/>
                <w:numId w:val="1"/>
              </w:num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招股书财报复杂度极高，隐性暗雷难以人工排查。 港股招股说明书动辄数百页，充斥着复杂的估值对赌、大额关联交易以及现金流消耗风险。传统人工解读极易漏掉致命瑕疵。</w:t>
            </w:r>
          </w:p>
          <w:p w14:paraId="7021D1DE">
            <w:pPr>
              <w:numPr>
                <w:ilvl w:val="0"/>
                <w:numId w:val="1"/>
              </w:num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传统预警体系视角单一，缺乏融合法务合规、财务穿透与市场博弈等多角色的协同智能分析机制。</w:t>
            </w:r>
          </w:p>
          <w:p w14:paraId="31BDD22A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第三，缺乏“基本面+市场情绪”的共振风险评估。 一只新股的暴跌，往往不仅是因为公司质地差，更受制于发行当期的“大盘遇冷与板块流动性枯竭”。传统风控割裂了静态文本与动态行情的关联。</w:t>
            </w:r>
          </w:p>
          <w:p w14:paraId="1F715384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</w:p>
          <w:p w14:paraId="2108D2E6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因此，亟需构建一套基于 Agentic AI 的多角色协作风险预警系统，对招股书内涵与外部市场环境进行深度排查，并用上市后的真实走势反向验证其预警效力。</w:t>
            </w:r>
          </w:p>
          <w:p w14:paraId="68BF0173">
            <w:pPr>
              <w:spacing w:after="0" w:line="240" w:lineRule="auto"/>
              <w:ind w:firstLine="440" w:firstLineChars="200"/>
              <w:jc w:val="both"/>
            </w:pPr>
          </w:p>
        </w:tc>
      </w:tr>
      <w:tr w14:paraId="0BC744C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A8774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</w:p>
          <w:p w14:paraId="7A15DEEC">
            <w:pPr>
              <w:numPr>
                <w:ilvl w:val="0"/>
                <w:numId w:val="2"/>
              </w:num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面对动辄数百页的复杂金融长文本，如何利用大语言模型（LLM）克服“幻觉”瓶颈，精准抽取标准化财务指标与非标隐性风险特征（如未盈利企业的现金消耗率、特殊股东对赌/赎回条款、核心管线进度等），通过语义分析技术，发现在招股书“风险因素”等章节的“文本粉饰度”较高的内容等等。</w:t>
            </w:r>
          </w:p>
          <w:p w14:paraId="546F4C71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2、在 Agentic AI 框架下，如何设计涵盖法务合规、财务穿透与市场分析等多专家角色的协作架构？当不同领域智能体的解析结果存在逻辑冲突时，系统如何通过自主规划、辩论与查证链路，实现逻辑自洽的交叉验证与风险判定。</w:t>
            </w:r>
          </w:p>
          <w:p w14:paraId="4E4A597E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3、招股书体现的基本面瑕疵属于低频、静态的文本特征，而发行期的大盘冷暖、板块流动性属于高频、动态的时序特征。如何进行跨模态融合，充分考虑外部市场环境与基本面风险的综合因素，构建更完整预警评价体系。</w:t>
            </w:r>
          </w:p>
        </w:tc>
      </w:tr>
      <w:tr w14:paraId="7E7D87E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71303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</w:p>
          <w:p w14:paraId="7E18E1D7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1：招股书“防幻觉”解析与非标隐性风险抽取</w:t>
            </w:r>
          </w:p>
          <w:p w14:paraId="6F569AB2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聚焦解决复杂金融长文本的理解与防幻觉问题，参赛团队需构建面向港股数百页招股说明书（PDF）的解析与特征抽取模块。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精准抽取标准化财务指标与非标隐性风险特征（如未盈利企业的现金消耗率、特殊股东对赌/赎回条款、核心管线进度等），以及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“文本粉饰度”较高的原文切片。</w:t>
            </w:r>
          </w:p>
          <w:p w14:paraId="5D672CB4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61481236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2：多角色尽调 Agent 协作架构与 Skill 编排</w:t>
            </w:r>
          </w:p>
          <w:p w14:paraId="764A3945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围绕 Agentic AI 复杂分析流程的逻辑自洽问题，参赛团队需设计模拟真实投行团队的多智能体协作架构。构建法务合规 Agent、财务穿透 Agent、市场情绪 Agent及总控决策 Agent。并将长文档检索、同行估值比对、现金流消耗测算、情绪热度打分等能力封装为可复用的 Skill，实现从“输入招股书PDF与代码”到“输出多维风险结论”的自动化 Pipeline。</w:t>
            </w:r>
          </w:p>
          <w:p w14:paraId="2BC8306C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</w:p>
          <w:p w14:paraId="2D58B939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3：可解释新股预警报告与投研复核工具</w:t>
            </w:r>
          </w:p>
          <w:p w14:paraId="4F4B165E">
            <w:pPr>
              <w:spacing w:after="0" w:line="240" w:lineRule="auto"/>
              <w:ind w:firstLine="560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参赛团队需构建可解释性高、可移植、可复用的工具，自动生成单家或批量新股的《IPO 风险穿透预警报告》，清晰列示：触发高风险的核心诱因，以及精准映射至招股书原 PDF 页码与段落的证据截图、当前时间窗的风险预测。最终提供可运行的原型系统、API 服务或可视化的 Agent 交互界面，支持投研人员进行高效的人机协同复核。</w:t>
            </w:r>
          </w:p>
        </w:tc>
      </w:tr>
      <w:tr w14:paraId="7CF3C6A5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CB1A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</w:p>
          <w:p w14:paraId="7974A9F5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技术与平台储备：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命题单位在金融 AI 领域具有深厚积累，自主研发的企业级 AIaaS 平台已具备底层算力调度、主流开源/闭源大模型接入、模型训练、微调与评测能力，可支撑上市公司信息披露文本理解、风险识别与预测模型验证。</w:t>
            </w:r>
          </w:p>
          <w:p w14:paraId="66B9724B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Agentic AI 架构基础：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目前已在内部深入研发以“推理-行动-观察-反思”为核心的多智能体协同架构，在合规、审计、投研等复杂金融场景的自动化巡检与逻辑问答中进行了初步验证，积累了 Agent 框架搭建、工具调用、Skill 挂载、任务编排和推理日志追踪经验。</w:t>
            </w:r>
          </w:p>
          <w:p w14:paraId="10BB1C00">
            <w:pPr>
              <w:spacing w:after="0" w:line="240" w:lineRule="auto"/>
              <w:ind w:firstLine="562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数据资源沉淀：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已具备近3年港股招股说明书、港股基本信息、历史行情等数据基础。</w:t>
            </w:r>
          </w:p>
        </w:tc>
      </w:tr>
      <w:tr w14:paraId="3F9A8FF1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99214">
            <w:pP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</w:p>
          <w:p w14:paraId="50EB9A25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构建一套基于 Agentic AI 的港股 IPO 风险预警算法系统，围绕招股说明书深度解析、多角色智能体协同推理、市场情绪共振评估和上市后表现验证，形成对新股上市风险的方向性预测、风险诱因归因和可解释预警报告生成能力。</w:t>
            </w:r>
          </w:p>
          <w:p w14:paraId="61857EFF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具体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目标如下：</w:t>
            </w:r>
          </w:p>
          <w:p w14:paraId="514775E4">
            <w:pP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招股书风险解析与归因</w:t>
            </w:r>
          </w:p>
          <w:p w14:paraId="7A252EBB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招股说明书中关键风险要素抽取准确率 ≥ 80%，包括但不限于对赌/赎回条款、关联交易、客户或供应商集中度、现金流消耗压力等非标风险信息。关键证据片段召回率 ≥ 85%，即系统能够从招股书原文中准确定位支撑风险结论的段落或表格。</w:t>
            </w:r>
          </w:p>
          <w:p w14:paraId="6C2E3587">
            <w:pP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多智能体协同与可解释性</w:t>
            </w:r>
          </w:p>
          <w:p w14:paraId="751BBF0D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Agent 推理链路、角色分工、工具调用记录和证据来源可追踪率达到 100%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，</w:t>
            </w:r>
          </w:p>
          <w:p w14:paraId="5930DE46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逻辑解释有效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性高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（由专家评委或 LLM 辅助评审对归因链条进行综合打分） 。</w:t>
            </w:r>
          </w:p>
          <w:p w14:paraId="7872256B">
            <w:pP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上市风险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预警业务参考价值</w:t>
            </w:r>
          </w:p>
          <w:p w14:paraId="2DE0AABE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对系统识别出的风险样本，结合其上市首日、上市后5个交易日、20个交易日及60个交易日的真实市场表现，评估预警结果的业务参考价值；其中，重点关注“上市后5个交易日内显著下跌风险”的识别能力，并给予更高权重进行综合评价。</w:t>
            </w:r>
          </w:p>
          <w:p w14:paraId="5E5BC276">
            <w:pP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成果交付</w:t>
            </w:r>
          </w:p>
          <w:p w14:paraId="2EDAD457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包含数据处理、招股书解析、特征构建、风险预测、多智能体编排与报告生成的完整项目源代码（含环境配置与运行脚本），或者在主流 Agentic AI 框架中可复用的 IPO 风险预警 Skill。</w:t>
            </w:r>
          </w:p>
          <w:p w14:paraId="6FE09F69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可运行的风险预警原型系统或 API 服务，支持输入公司名称、股票代码或招股书文件后，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输出预警提示和报告，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支持投研人员进行高效的人机协同复核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。</w:t>
            </w:r>
          </w:p>
          <w:p w14:paraId="66FC5BAD">
            <w:pP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测试集预测结果数据表、多智能体推理日志、关键证据片段、典型案例分析报告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。</w:t>
            </w:r>
          </w:p>
        </w:tc>
      </w:tr>
      <w:tr w14:paraId="6E8E6969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DB540">
            <w:pP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</w:p>
          <w:p w14:paraId="7179FCA7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1. 招股说明书文本数据</w:t>
            </w:r>
          </w:p>
          <w:p w14:paraId="1016456A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提供3-5 年在香港交易所上市企业的招股说明书原始文件，数据形式以 PDF 为主。</w:t>
            </w:r>
          </w:p>
          <w:p w14:paraId="235E0FDF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2. 港股基本信息数据</w:t>
            </w:r>
          </w:p>
          <w:p w14:paraId="427A1113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提供对应上市企业的基础属性数据，包括股票代码、上市日期、所属行业、发行价格、发行规模、市值区间等结构化信息。</w:t>
            </w:r>
          </w:p>
          <w:p w14:paraId="2C80ED61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3. 历史行情与表现标签数据</w:t>
            </w:r>
          </w:p>
          <w:p w14:paraId="1F49E997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包括日期、股票代码、开盘价、收盘价、最高价、最低价、成交量、涨跌幅指标。该部分数据用于回溯和分析上市时间点的市场情况，以及上市后个股的表现计算。</w:t>
            </w:r>
          </w:p>
          <w:p w14:paraId="74A38FF3">
            <w:pPr>
              <w:spacing w:after="0" w:line="240" w:lineRule="auto"/>
              <w:ind w:firstLine="440" w:firstLineChars="200"/>
              <w:jc w:val="both"/>
            </w:pPr>
          </w:p>
        </w:tc>
      </w:tr>
    </w:tbl>
    <w:p w14:paraId="04AC44F3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B69C44"/>
    <w:multiLevelType w:val="singleLevel"/>
    <w:tmpl w:val="D7B69C44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abstractNum w:abstractNumId="1">
    <w:nsid w:val="7EFCFA5A"/>
    <w:multiLevelType w:val="singleLevel"/>
    <w:tmpl w:val="7EFCFA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2F4E8E"/>
    <w:rsid w:val="00913D29"/>
    <w:rsid w:val="00FC0FF6"/>
    <w:rsid w:val="2FFF862D"/>
    <w:rsid w:val="3BB7E763"/>
    <w:rsid w:val="3BDFEE17"/>
    <w:rsid w:val="3EBF3701"/>
    <w:rsid w:val="4FAE3986"/>
    <w:rsid w:val="5B6DAB64"/>
    <w:rsid w:val="5FEF523D"/>
    <w:rsid w:val="7FEDC551"/>
    <w:rsid w:val="7FEFBC38"/>
    <w:rsid w:val="7FEFD299"/>
    <w:rsid w:val="9BE96120"/>
    <w:rsid w:val="9F5B961E"/>
    <w:rsid w:val="BFF797B3"/>
    <w:rsid w:val="CEFE1071"/>
    <w:rsid w:val="CFE7ADB7"/>
    <w:rsid w:val="DC9F0F94"/>
    <w:rsid w:val="E76FDD40"/>
    <w:rsid w:val="F9DE32B0"/>
    <w:rsid w:val="FEDAA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</Words>
  <Characters>291</Characters>
  <Lines>2</Lines>
  <Paragraphs>1</Paragraphs>
  <TotalTime>13</TotalTime>
  <ScaleCrop>false</ScaleCrop>
  <LinksUpToDate>false</LinksUpToDate>
  <CharactersWithSpaces>340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2026-04-18T11:07:00Z</dcterms:created>
  <dc:creator>李昊骅 南京大学</dc:creator>
  <cp:lastModifiedBy>lap</cp:lastModifiedBy>
  <dcterms:modified xsi:type="dcterms:W3CDTF">2026-04-28T20:02:16Z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58562D05B96F81D8569FF069BBABA429_43</vt:lpwstr>
  </property>
</Properties>
</file>